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4644"/>
        <w:gridCol w:w="4645"/>
      </w:tblGrid>
      <w:tr w:rsidR="00DB342C" w:rsidRPr="00920901" w14:paraId="46BFBF79" w14:textId="77777777" w:rsidTr="009C5203">
        <w:tc>
          <w:tcPr>
            <w:tcW w:w="4644" w:type="dxa"/>
          </w:tcPr>
          <w:bookmarkStart w:id="0" w:name="_GoBack"/>
          <w:bookmarkEnd w:id="0"/>
          <w:p w14:paraId="342E80A2" w14:textId="065BC0D3" w:rsidR="00DB342C" w:rsidRPr="00920901" w:rsidRDefault="008A53CF" w:rsidP="0081450B">
            <w:r w:rsidRPr="00920901">
              <w:rPr>
                <w:noProof/>
                <w:lang w:val="en-GB" w:eastAsia="en-GB"/>
              </w:rPr>
              <mc:AlternateContent>
                <mc:Choice Requires="wps">
                  <w:drawing>
                    <wp:anchor distT="0" distB="0" distL="114300" distR="114300" simplePos="0" relativeHeight="251659264" behindDoc="1" locked="0" layoutInCell="0" allowOverlap="1" wp14:anchorId="5EB8F3F3" wp14:editId="19DD06A0">
                      <wp:simplePos x="0" y="0"/>
                      <wp:positionH relativeFrom="page">
                        <wp:posOffset>6767830</wp:posOffset>
                      </wp:positionH>
                      <wp:positionV relativeFrom="page">
                        <wp:posOffset>10079990</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F176E" w14:textId="77777777" w:rsidR="004F45FC" w:rsidRPr="001A671F" w:rsidRDefault="004F45FC">
                                  <w:pPr>
                                    <w:jc w:val="center"/>
                                    <w:rPr>
                                      <w:rFonts w:ascii="Arial" w:hAnsi="Arial" w:cs="Arial"/>
                                      <w:b/>
                                      <w:bCs/>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3"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IED&#10;qXzhAAAADwEAAA8AAABkcnMvZG93bnJldi54bWxMj81OwzAQhO9IvIO1SNyoXZSkaYhTIRBXKsqP&#10;xM2Nt0lEvI5itwlv3+0JbjO7o9lvy83senHCMXSeNCwXCgRS7W1HjYaP95e7HESIhqzpPaGGXwyw&#10;qa6vSlNYP9EbnnaxEVxCoTAa2hiHQspQt+hMWPgBiXcHPzoT2Y6NtKOZuNz18l6pTDrTEV9ozYBP&#10;LdY/u6PT8Pl6+P5K1LZ5dukw+VlJcmup9e3N/PgAIuIc/8JwwWd0qJhp749kg+jZqyxl9sgqzVcJ&#10;iEtmma14tmeVJescZFXK/39UZwAAAP//AwBQSwECLQAUAAYACAAAACEAtoM4kv4AAADhAQAAEwAA&#10;AAAAAAAAAAAAAAAAAAAAW0NvbnRlbnRfVHlwZXNdLnhtbFBLAQItABQABgAIAAAAIQA4/SH/1gAA&#10;AJQBAAALAAAAAAAAAAAAAAAAAC8BAABfcmVscy8ucmVsc1BLAQItABQABgAIAAAAIQC0IreQtQIA&#10;ALgFAAAOAAAAAAAAAAAAAAAAAC4CAABkcnMvZTJvRG9jLnhtbFBLAQItABQABgAIAAAAIQCBA6l8&#10;4QAAAA8BAAAPAAAAAAAAAAAAAAAAAA8FAABkcnMvZG93bnJldi54bWxQSwUGAAAAAAQABADzAAAA&#10;HQYAAAAA&#10;">
                      <v:textbox>
                        <w:txbxContent>
                          <w:p w:rsidRPr="001A671F" w:rsidR="004F45FC" w:rsidRDefault="004F45FC" w14:paraId="57EF176E" w14:textId="77777777">
                            <w:pPr>
                              <w:jc w:val="center"/>
                              <w:rPr>
                                <w:b/>
                                <w:bCs/>
                                <w:sz w:val="48"/>
                                <w:rFonts w:ascii="Arial" w:hAnsi="Arial" w:cs="Arial"/>
                              </w:rPr>
                            </w:pPr>
                            <w:r>
                              <w:rPr>
                                <w:b/>
                                <w:sz w:val="48"/>
                                <w:rFonts w:ascii="Arial" w:hAnsi="Arial"/>
                              </w:rPr>
                              <w:t xml:space="preserve">HU</w:t>
                            </w:r>
                          </w:p>
                        </w:txbxContent>
                      </v:textbox>
                      <w10:wrap anchorx="page" anchory="page"/>
                    </v:shape>
                  </w:pict>
                </mc:Fallback>
              </mc:AlternateContent>
            </w:r>
            <w:r w:rsidR="006C7A92">
              <w:rPr>
                <w:noProof/>
                <w:lang w:val="en-GB" w:eastAsia="en-GB"/>
              </w:rPr>
              <w:drawing>
                <wp:inline distT="0" distB="0" distL="0" distR="0" wp14:anchorId="0AA2BAB2" wp14:editId="679626CF">
                  <wp:extent cx="1799590" cy="1558290"/>
                  <wp:effectExtent l="0" t="0" r="0" b="3810"/>
                  <wp:docPr id="3" name="Picture 3" title="CoRLogo_HU"/>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99590" cy="1558290"/>
                          </a:xfrm>
                          <a:prstGeom prst="rect">
                            <a:avLst/>
                          </a:prstGeom>
                        </pic:spPr>
                      </pic:pic>
                    </a:graphicData>
                  </a:graphic>
                </wp:inline>
              </w:drawing>
            </w:r>
            <w:r w:rsidRPr="00920901">
              <w:rPr>
                <w:b/>
                <w:bCs/>
                <w:noProof/>
                <w:sz w:val="32"/>
                <w:lang w:val="en-GB" w:eastAsia="en-GB"/>
              </w:rPr>
              <w:drawing>
                <wp:anchor distT="0" distB="0" distL="114300" distR="114300" simplePos="0" relativeHeight="251657216" behindDoc="0" locked="0" layoutInCell="0" allowOverlap="0" wp14:anchorId="3B000E65" wp14:editId="0901082B">
                  <wp:simplePos x="0" y="0"/>
                  <wp:positionH relativeFrom="page">
                    <wp:posOffset>899795</wp:posOffset>
                  </wp:positionH>
                  <wp:positionV relativeFrom="page">
                    <wp:posOffset>10184130</wp:posOffset>
                  </wp:positionV>
                  <wp:extent cx="5760085" cy="266700"/>
                  <wp:effectExtent l="0" t="0" r="0" b="0"/>
                  <wp:wrapNone/>
                  <wp:docPr id="4" name="Picture 6" descr="CoR letterhead top banner - address FR-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R letterhead top banner - address FR-N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266700"/>
                          </a:xfrm>
                          <a:prstGeom prst="rect">
                            <a:avLst/>
                          </a:prstGeom>
                          <a:noFill/>
                        </pic:spPr>
                      </pic:pic>
                    </a:graphicData>
                  </a:graphic>
                  <wp14:sizeRelH relativeFrom="page">
                    <wp14:pctWidth>0</wp14:pctWidth>
                  </wp14:sizeRelH>
                  <wp14:sizeRelV relativeFrom="page">
                    <wp14:pctHeight>0</wp14:pctHeight>
                  </wp14:sizeRelV>
                </wp:anchor>
              </w:drawing>
            </w:r>
          </w:p>
        </w:tc>
        <w:tc>
          <w:tcPr>
            <w:tcW w:w="4645" w:type="dxa"/>
          </w:tcPr>
          <w:p w14:paraId="77099C57" w14:textId="77777777" w:rsidR="00DB342C" w:rsidRPr="00920901" w:rsidRDefault="00DB342C" w:rsidP="0081450B"/>
        </w:tc>
      </w:tr>
      <w:tr w:rsidR="002F7D93" w:rsidRPr="00920901" w14:paraId="2D807B4C" w14:textId="77777777" w:rsidTr="009C5203">
        <w:tblPrEx>
          <w:tblLook w:val="0000" w:firstRow="0" w:lastRow="0" w:firstColumn="0" w:lastColumn="0" w:noHBand="0" w:noVBand="0"/>
        </w:tblPrEx>
        <w:trPr>
          <w:cantSplit/>
        </w:trPr>
        <w:tc>
          <w:tcPr>
            <w:tcW w:w="9289" w:type="dxa"/>
            <w:gridSpan w:val="2"/>
          </w:tcPr>
          <w:p w14:paraId="45216730" w14:textId="5467AE05" w:rsidR="002F7D93" w:rsidRPr="00920901" w:rsidRDefault="00F468E8" w:rsidP="001B1081">
            <w:pPr>
              <w:jc w:val="right"/>
              <w:rPr>
                <w:b/>
                <w:bCs/>
                <w:sz w:val="28"/>
              </w:rPr>
            </w:pPr>
            <w:r>
              <w:rPr>
                <w:b/>
                <w:sz w:val="28"/>
              </w:rPr>
              <w:t>SEDEC-VI/042</w:t>
            </w:r>
          </w:p>
        </w:tc>
      </w:tr>
      <w:tr w:rsidR="002F7D93" w:rsidRPr="00920901" w14:paraId="656A8C4B" w14:textId="77777777" w:rsidTr="009C5203">
        <w:tblPrEx>
          <w:tblLook w:val="0000" w:firstRow="0" w:lastRow="0" w:firstColumn="0" w:lastColumn="0" w:noHBand="0" w:noVBand="0"/>
        </w:tblPrEx>
        <w:trPr>
          <w:cantSplit/>
        </w:trPr>
        <w:tc>
          <w:tcPr>
            <w:tcW w:w="9289" w:type="dxa"/>
            <w:gridSpan w:val="2"/>
          </w:tcPr>
          <w:p w14:paraId="3506EACD" w14:textId="7165AC6D" w:rsidR="002F7D93" w:rsidRPr="00AF6796" w:rsidRDefault="00920901" w:rsidP="0081450B">
            <w:pPr>
              <w:jc w:val="center"/>
              <w:rPr>
                <w:b/>
                <w:bCs/>
                <w:sz w:val="28"/>
                <w:szCs w:val="28"/>
              </w:rPr>
            </w:pPr>
            <w:r>
              <w:rPr>
                <w:b/>
                <w:bCs/>
                <w:sz w:val="28"/>
                <w:szCs w:val="28"/>
              </w:rPr>
              <w:t>20. szakbizottsági ülés – 2018. október 18.</w:t>
            </w:r>
          </w:p>
        </w:tc>
      </w:tr>
    </w:tbl>
    <w:p w14:paraId="43950093" w14:textId="57E2507C" w:rsidR="002F7D93" w:rsidRPr="00920901" w:rsidRDefault="002F7D93" w:rsidP="0081450B"/>
    <w:p w14:paraId="2036985D" w14:textId="77777777" w:rsidR="00902B9E" w:rsidRPr="00920901" w:rsidRDefault="00902B9E" w:rsidP="0081450B"/>
    <w:p w14:paraId="6E4E7498" w14:textId="404F13E5" w:rsidR="00BB72CD" w:rsidRPr="00920901" w:rsidRDefault="00BB72CD" w:rsidP="0081450B">
      <w:pPr>
        <w:jc w:val="center"/>
        <w:rPr>
          <w:b/>
          <w:sz w:val="28"/>
          <w:szCs w:val="28"/>
        </w:rPr>
      </w:pPr>
      <w:r>
        <w:rPr>
          <w:b/>
          <w:sz w:val="28"/>
          <w:szCs w:val="28"/>
        </w:rPr>
        <w:t>VÉLEMÉNYTERVEZET</w:t>
      </w:r>
    </w:p>
    <w:p w14:paraId="52DBCF8C" w14:textId="77777777" w:rsidR="00BB72CD" w:rsidRPr="00920901" w:rsidRDefault="00BB72CD" w:rsidP="0081450B"/>
    <w:p w14:paraId="55B61017" w14:textId="392F9017" w:rsidR="00BB72CD" w:rsidRPr="00920901" w:rsidRDefault="008B3F19" w:rsidP="0081450B">
      <w:pPr>
        <w:jc w:val="center"/>
        <w:rPr>
          <w:b/>
          <w:sz w:val="28"/>
          <w:szCs w:val="28"/>
        </w:rPr>
      </w:pPr>
      <w:r>
        <w:rPr>
          <w:b/>
          <w:bCs/>
          <w:sz w:val="28"/>
          <w:szCs w:val="28"/>
        </w:rPr>
        <w:t>„Szociálpolitika, oktatás, foglalkoztatás, kutatás és kultúra” szakbizottság</w:t>
      </w:r>
      <w:r>
        <w:rPr>
          <w:b/>
          <w:sz w:val="28"/>
          <w:szCs w:val="28"/>
        </w:rPr>
        <w:t xml:space="preserve"> </w:t>
      </w:r>
    </w:p>
    <w:p w14:paraId="44942137" w14:textId="77777777" w:rsidR="00BB72CD" w:rsidRPr="00920901" w:rsidRDefault="00BB72CD" w:rsidP="0081450B"/>
    <w:p w14:paraId="322B1B78" w14:textId="17E2106E" w:rsidR="002F7D93" w:rsidRPr="00920901" w:rsidRDefault="00CC78BA" w:rsidP="0081450B">
      <w:pPr>
        <w:jc w:val="center"/>
        <w:rPr>
          <w:b/>
          <w:bCs/>
          <w:sz w:val="28"/>
          <w:szCs w:val="28"/>
        </w:rPr>
      </w:pPr>
      <w:r>
        <w:rPr>
          <w:b/>
          <w:bCs/>
          <w:sz w:val="28"/>
          <w:szCs w:val="28"/>
        </w:rPr>
        <w:t>Európai Szolidaritási Testület és az EU új ifjúsági stratégiája</w:t>
      </w:r>
    </w:p>
    <w:p w14:paraId="34343E27" w14:textId="77777777" w:rsidR="002F7D93" w:rsidRPr="00920901" w:rsidRDefault="002F7D93" w:rsidP="0081450B">
      <w:pPr>
        <w:tabs>
          <w:tab w:val="left" w:pos="440"/>
        </w:tabs>
      </w:pPr>
    </w:p>
    <w:p w14:paraId="6B6881CF" w14:textId="77777777" w:rsidR="00BB72CD" w:rsidRPr="00920901" w:rsidRDefault="00BB72CD" w:rsidP="0081450B"/>
    <w:tbl>
      <w:tblPr>
        <w:tblW w:w="0" w:type="auto"/>
        <w:tblLayout w:type="fixed"/>
        <w:tblLook w:val="0000" w:firstRow="0" w:lastRow="0" w:firstColumn="0" w:lastColumn="0" w:noHBand="0" w:noVBand="0"/>
      </w:tblPr>
      <w:tblGrid>
        <w:gridCol w:w="9289"/>
      </w:tblGrid>
      <w:tr w:rsidR="00BB72CD" w:rsidRPr="00920901" w14:paraId="7C55D84B" w14:textId="77777777" w:rsidTr="001B1081">
        <w:tc>
          <w:tcPr>
            <w:tcW w:w="9289" w:type="dxa"/>
          </w:tcPr>
          <w:p w14:paraId="2348C5A2" w14:textId="77777777" w:rsidR="00BB72CD" w:rsidRPr="00920901" w:rsidRDefault="00BB72CD" w:rsidP="0081450B">
            <w:pPr>
              <w:jc w:val="center"/>
            </w:pPr>
            <w:r>
              <w:t>_____________</w:t>
            </w:r>
          </w:p>
          <w:p w14:paraId="39D28CD4" w14:textId="77777777" w:rsidR="00BB72CD" w:rsidRPr="00920901" w:rsidRDefault="00BB72CD" w:rsidP="0081450B">
            <w:pPr>
              <w:jc w:val="center"/>
            </w:pPr>
          </w:p>
          <w:p w14:paraId="5D716499" w14:textId="360C3F39" w:rsidR="00BB72CD" w:rsidRPr="00920901" w:rsidRDefault="00BB72CD" w:rsidP="0081450B">
            <w:pPr>
              <w:jc w:val="center"/>
              <w:rPr>
                <w:b/>
                <w:bCs/>
              </w:rPr>
            </w:pPr>
            <w:r>
              <w:t>Előadó:</w:t>
            </w:r>
            <w:r>
              <w:rPr>
                <w:b/>
                <w:bCs/>
              </w:rPr>
              <w:t xml:space="preserve"> Matteo Luigi Bianchi (IT/ECR)</w:t>
            </w:r>
          </w:p>
          <w:p w14:paraId="3FEF1DFE" w14:textId="38B9AA83" w:rsidR="00BB72CD" w:rsidRPr="00920901" w:rsidRDefault="00BB72CD" w:rsidP="0081450B">
            <w:pPr>
              <w:jc w:val="center"/>
            </w:pPr>
            <w:r>
              <w:t>Morazzone (Varese megye) polgármestere</w:t>
            </w:r>
          </w:p>
          <w:p w14:paraId="622D3BA3" w14:textId="77777777" w:rsidR="00BB72CD" w:rsidRPr="00920901" w:rsidRDefault="00BB72CD" w:rsidP="0081450B">
            <w:pPr>
              <w:jc w:val="center"/>
            </w:pPr>
            <w:r>
              <w:t>_____________</w:t>
            </w:r>
          </w:p>
        </w:tc>
      </w:tr>
    </w:tbl>
    <w:p w14:paraId="0457ADA9" w14:textId="77777777" w:rsidR="00BB72CD" w:rsidRPr="00920901" w:rsidRDefault="00BB72CD" w:rsidP="001A671F"/>
    <w:p w14:paraId="32ADDBFA" w14:textId="77777777" w:rsidR="00BB72CD" w:rsidRPr="00920901" w:rsidRDefault="00BB72CD" w:rsidP="001A671F"/>
    <w:p w14:paraId="52DCC668" w14:textId="77777777" w:rsidR="00BB72CD" w:rsidRPr="00920901" w:rsidRDefault="00BB72CD" w:rsidP="001A671F"/>
    <w:p w14:paraId="7AB473A5" w14:textId="77777777" w:rsidR="00BB72CD" w:rsidRPr="00920901" w:rsidRDefault="00BB72CD" w:rsidP="001A671F"/>
    <w:p w14:paraId="77C58869" w14:textId="77777777" w:rsidR="00BB72CD" w:rsidRPr="00920901" w:rsidRDefault="00BB72CD" w:rsidP="001A671F"/>
    <w:p w14:paraId="700F0D91" w14:textId="77777777" w:rsidR="00BB72CD" w:rsidRPr="00920901" w:rsidRDefault="00BB72CD" w:rsidP="001A671F"/>
    <w:p w14:paraId="0C886366" w14:textId="77777777" w:rsidR="00BB72CD" w:rsidRPr="00920901" w:rsidRDefault="00BB72CD" w:rsidP="001A671F"/>
    <w:p w14:paraId="6759ECEF" w14:textId="77777777" w:rsidR="00BB72CD" w:rsidRPr="00920901" w:rsidRDefault="00BB72CD" w:rsidP="001A671F"/>
    <w:p w14:paraId="7FE38575" w14:textId="77777777" w:rsidR="00BB72CD" w:rsidRPr="00920901" w:rsidRDefault="00BB72CD" w:rsidP="001A671F"/>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9"/>
      </w:tblGrid>
      <w:tr w:rsidR="00BB72CD" w:rsidRPr="00920901" w14:paraId="180DAB7E" w14:textId="77777777" w:rsidTr="001B1081">
        <w:tc>
          <w:tcPr>
            <w:tcW w:w="9289" w:type="dxa"/>
            <w:tcBorders>
              <w:top w:val="single" w:sz="4" w:space="0" w:color="auto"/>
              <w:bottom w:val="single" w:sz="4" w:space="0" w:color="auto"/>
            </w:tcBorders>
          </w:tcPr>
          <w:p w14:paraId="5683C447" w14:textId="2B59AFAB" w:rsidR="00BB72CD" w:rsidRPr="00920901" w:rsidRDefault="00BB72CD">
            <w:pPr>
              <w:rPr>
                <w:bCs/>
                <w:iCs/>
              </w:rPr>
            </w:pPr>
            <w:r>
              <w:t xml:space="preserve">Ez a dokumentum a </w:t>
            </w:r>
            <w:r>
              <w:rPr>
                <w:b/>
                <w:bCs/>
                <w:iCs/>
              </w:rPr>
              <w:t>„Szociálpolitika, oktatás, foglalkoztatás, kutatás és kultúra” szakbizottság 2018. október 18-án 11 órától 17.30-ig</w:t>
            </w:r>
            <w:r>
              <w:t xml:space="preserve"> tartandó ülésén kerül megvitatásra. A fordításra való tekintettel az esetleges </w:t>
            </w:r>
            <w:r>
              <w:rPr>
                <w:b/>
              </w:rPr>
              <w:t xml:space="preserve">módosító indítványokat legkésőbb 2018. október 5-én (brüsszeli idő </w:t>
            </w:r>
            <w:r>
              <w:rPr>
                <w:b/>
              </w:rPr>
              <w:lastRenderedPageBreak/>
              <w:t>szerint) 15 óráig</w:t>
            </w:r>
            <w:r>
              <w:t xml:space="preserve"> az erre a célra szolgáló online eszközön keresztül kell benyújtani (elérhető a tagok portáljáról: </w:t>
            </w:r>
            <w:hyperlink r:id="rId15" w:history="1">
              <w:r>
                <w:rPr>
                  <w:rStyle w:val="Hyperlink"/>
                </w:rPr>
                <w:t>https://memportal.cor.europa.eu/</w:t>
              </w:r>
            </w:hyperlink>
            <w:r>
              <w:t>).</w:t>
            </w:r>
            <w:r>
              <w:rPr>
                <w:b/>
              </w:rPr>
              <w:t xml:space="preserve"> </w:t>
            </w:r>
            <w:r>
              <w:t xml:space="preserve">A felhasználói útmutató a </w:t>
            </w:r>
            <w:hyperlink r:id="rId16" w:history="1">
              <w:r>
                <w:rPr>
                  <w:rStyle w:val="Hyperlink"/>
                </w:rPr>
                <w:t>https://memportal.cor.europa.eu/</w:t>
              </w:r>
            </w:hyperlink>
            <w:r>
              <w:t xml:space="preserve"> címen található.</w:t>
            </w:r>
          </w:p>
        </w:tc>
      </w:tr>
    </w:tbl>
    <w:p w14:paraId="3FEFE63F" w14:textId="77777777" w:rsidR="00BB72CD" w:rsidRPr="00920901" w:rsidRDefault="00BB72CD" w:rsidP="0081450B">
      <w:pPr>
        <w:tabs>
          <w:tab w:val="left" w:pos="440"/>
        </w:tabs>
      </w:pPr>
    </w:p>
    <w:p w14:paraId="7160C252" w14:textId="77777777" w:rsidR="00BB72CD" w:rsidRPr="00920901" w:rsidRDefault="00BB72CD" w:rsidP="0081450B">
      <w:pPr>
        <w:tabs>
          <w:tab w:val="left" w:pos="440"/>
        </w:tabs>
      </w:pPr>
    </w:p>
    <w:p w14:paraId="280BAFEA" w14:textId="77777777" w:rsidR="00BB72CD" w:rsidRPr="00920901" w:rsidRDefault="00BB72CD" w:rsidP="0081450B">
      <w:pPr>
        <w:tabs>
          <w:tab w:val="left" w:pos="440"/>
        </w:tabs>
      </w:pPr>
    </w:p>
    <w:p w14:paraId="63685BAD" w14:textId="77777777" w:rsidR="00BB72CD" w:rsidRPr="00920901" w:rsidRDefault="00BB72CD" w:rsidP="0081450B">
      <w:pPr>
        <w:tabs>
          <w:tab w:val="left" w:pos="440"/>
        </w:tabs>
      </w:pPr>
    </w:p>
    <w:p w14:paraId="3591FA7A" w14:textId="77777777" w:rsidR="00BB72CD" w:rsidRPr="00920901" w:rsidRDefault="00BB72CD" w:rsidP="0081450B">
      <w:pPr>
        <w:tabs>
          <w:tab w:val="left" w:pos="440"/>
        </w:tabs>
        <w:sectPr w:rsidR="00BB72CD" w:rsidRPr="00920901" w:rsidSect="007D4838">
          <w:footerReference w:type="default" r:id="rId17"/>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002F7D93" w:rsidRPr="00920901" w14:paraId="038DE4B3" w14:textId="77777777" w:rsidTr="009C5203">
        <w:trPr>
          <w:trHeight w:val="12474"/>
        </w:trPr>
        <w:tc>
          <w:tcPr>
            <w:tcW w:w="9289" w:type="dxa"/>
            <w:vAlign w:val="bottom"/>
          </w:tcPr>
          <w:p w14:paraId="012609AC" w14:textId="77777777" w:rsidR="00186763" w:rsidRPr="00920901" w:rsidRDefault="00186763" w:rsidP="0081450B">
            <w:pPr>
              <w:rPr>
                <w:u w:val="single"/>
              </w:rPr>
            </w:pPr>
          </w:p>
          <w:p w14:paraId="2B4DB0F4" w14:textId="77777777" w:rsidR="002F7D93" w:rsidRPr="00920901" w:rsidRDefault="00C60502" w:rsidP="0081450B">
            <w:pPr>
              <w:rPr>
                <w:u w:val="single"/>
              </w:rPr>
            </w:pPr>
            <w:r>
              <w:rPr>
                <w:u w:val="single"/>
              </w:rPr>
              <w:t>Referenciaszövegek</w:t>
            </w:r>
          </w:p>
          <w:p w14:paraId="5E8A4438" w14:textId="77777777" w:rsidR="00C60502" w:rsidRPr="00920901" w:rsidRDefault="00C60502" w:rsidP="0081450B"/>
          <w:p w14:paraId="7967FF41" w14:textId="4F4DEE2F" w:rsidR="009F64A8" w:rsidRPr="00920901" w:rsidRDefault="00920901" w:rsidP="0081450B">
            <w:r>
              <w:t>Javaslat Európai Parlamenti és Tanácsi rendeletre az Európai Szolidaritási Testület programjának létrehozásáról, valamint az [Európai Szolidaritási Testületről szóló rendelet] és a 375/2014/EU rendelet hatályon kívül helyezéséről, COM(2018) 440 final</w:t>
            </w:r>
          </w:p>
          <w:p w14:paraId="25B86025" w14:textId="77777777" w:rsidR="009F64A8" w:rsidRPr="00920901" w:rsidRDefault="009F64A8" w:rsidP="0081450B"/>
          <w:p w14:paraId="2D4D24EA" w14:textId="4740F0FC" w:rsidR="009F64A8" w:rsidRPr="00920901" w:rsidRDefault="00920901">
            <w:r>
              <w:t>A Bizottság közleménye az Európai Parlamentnek, a Tanácsnak, az Európai Gazdasági és Szociális Bizottságnak és a Régiók Bizottságának – A fiatalok bevonása, összekapcsolása és felelősségvállalásának ösztönzése: az EU új ifjúsági stratégiája, COM(2018) 269 final</w:t>
            </w:r>
          </w:p>
        </w:tc>
      </w:tr>
    </w:tbl>
    <w:p w14:paraId="758B69A3" w14:textId="77777777" w:rsidR="002F7D93" w:rsidRPr="00920901" w:rsidRDefault="002F7D93" w:rsidP="0081450B"/>
    <w:p w14:paraId="00607E6A" w14:textId="6CC01377" w:rsidR="00413C54" w:rsidRPr="00920901" w:rsidRDefault="002F7D93" w:rsidP="0081450B">
      <w:pPr>
        <w:jc w:val="center"/>
        <w:rPr>
          <w:b/>
        </w:rPr>
      </w:pPr>
      <w:r>
        <w:br w:type="page"/>
      </w:r>
      <w:r>
        <w:rPr>
          <w:b/>
        </w:rPr>
        <w:t>A „Szociálpolitika, oktatás, foglalkoztatás, kutatás és kultúra” szakbizottság véleménytervezete – Európai Szolidaritási Testület és az EU új ifjúsági stratégiája</w:t>
      </w:r>
    </w:p>
    <w:p w14:paraId="10DE6713" w14:textId="77777777" w:rsidR="002F7D93" w:rsidRPr="00920901" w:rsidRDefault="002F7D93" w:rsidP="0081450B">
      <w:pPr>
        <w:jc w:val="center"/>
        <w:rPr>
          <w:b/>
        </w:rPr>
      </w:pPr>
    </w:p>
    <w:p w14:paraId="3F251115" w14:textId="77777777" w:rsidR="00EA762A" w:rsidRPr="00920901" w:rsidRDefault="00EA762A" w:rsidP="0081450B"/>
    <w:p w14:paraId="0C0D17EC" w14:textId="77777777" w:rsidR="00EA762A" w:rsidRPr="00920901" w:rsidRDefault="00EA762A" w:rsidP="0081450B">
      <w:pPr>
        <w:numPr>
          <w:ilvl w:val="0"/>
          <w:numId w:val="12"/>
        </w:numPr>
        <w:ind w:left="567" w:hanging="567"/>
        <w:rPr>
          <w:b/>
          <w:bCs/>
        </w:rPr>
      </w:pPr>
      <w:r>
        <w:rPr>
          <w:b/>
        </w:rPr>
        <w:t>MÓDOSÍTÁSOKRA VONATKOZÓ AJÁNLÁSOK</w:t>
      </w:r>
    </w:p>
    <w:p w14:paraId="6D5B74C0" w14:textId="77777777" w:rsidR="00231B3A" w:rsidRPr="00920901" w:rsidRDefault="00231B3A" w:rsidP="0081450B"/>
    <w:p w14:paraId="689AD68B" w14:textId="77777777" w:rsidR="00231B3A" w:rsidRPr="00920901" w:rsidRDefault="00231B3A" w:rsidP="009B2F5B">
      <w:pPr>
        <w:keepNext/>
        <w:jc w:val="center"/>
        <w:rPr>
          <w:b/>
          <w:bCs/>
        </w:rPr>
      </w:pPr>
      <w:r>
        <w:rPr>
          <w:b/>
        </w:rPr>
        <w:t>1. módosítás</w:t>
      </w:r>
    </w:p>
    <w:p w14:paraId="15FE3FC6" w14:textId="7E0D20EB" w:rsidR="00231B3A" w:rsidRPr="00920901" w:rsidRDefault="00A61CA9" w:rsidP="009B2F5B">
      <w:pPr>
        <w:keepNext/>
        <w:jc w:val="center"/>
        <w:rPr>
          <w:b/>
        </w:rPr>
      </w:pPr>
      <w:r>
        <w:t xml:space="preserve">(1) preambulumbekezdés </w:t>
      </w:r>
    </w:p>
    <w:p w14:paraId="55E148D9" w14:textId="77777777" w:rsidR="00231B3A" w:rsidRPr="00920901" w:rsidRDefault="00231B3A" w:rsidP="009B2F5B">
      <w:pPr>
        <w:keepNext/>
        <w:jc w:val="cente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231B3A" w:rsidRPr="00920901" w14:paraId="36CFB912" w14:textId="77777777" w:rsidTr="00D15720">
        <w:tc>
          <w:tcPr>
            <w:tcW w:w="4643" w:type="dxa"/>
          </w:tcPr>
          <w:p w14:paraId="3EB49655" w14:textId="77777777" w:rsidR="00231B3A" w:rsidRPr="00920901" w:rsidRDefault="00231B3A" w:rsidP="009B2F5B">
            <w:pPr>
              <w:keepNext/>
              <w:jc w:val="center"/>
              <w:rPr>
                <w:b/>
                <w:bCs/>
                <w:i/>
                <w:iCs/>
              </w:rPr>
            </w:pPr>
            <w:r>
              <w:rPr>
                <w:b/>
                <w:i/>
              </w:rPr>
              <w:t>Az Európai Bizottság által javasolt szöveg</w:t>
            </w:r>
          </w:p>
        </w:tc>
        <w:tc>
          <w:tcPr>
            <w:tcW w:w="4646" w:type="dxa"/>
          </w:tcPr>
          <w:p w14:paraId="30F80B21" w14:textId="77777777" w:rsidR="00231B3A" w:rsidRPr="00920901" w:rsidRDefault="00231B3A" w:rsidP="009B2F5B">
            <w:pPr>
              <w:keepNext/>
              <w:jc w:val="center"/>
              <w:rPr>
                <w:b/>
                <w:i/>
              </w:rPr>
            </w:pPr>
            <w:r>
              <w:rPr>
                <w:b/>
                <w:i/>
              </w:rPr>
              <w:t>Az RB módosítása</w:t>
            </w:r>
          </w:p>
        </w:tc>
      </w:tr>
      <w:tr w:rsidR="00231B3A" w:rsidRPr="00920901" w14:paraId="4DC791AF" w14:textId="77777777" w:rsidTr="00D15720">
        <w:tc>
          <w:tcPr>
            <w:tcW w:w="4643" w:type="dxa"/>
          </w:tcPr>
          <w:p w14:paraId="59FBB756" w14:textId="2543056C" w:rsidR="00231B3A" w:rsidRPr="00920901" w:rsidRDefault="00DC723A" w:rsidP="0081450B">
            <w:r>
              <w:t>Az Európai Unió alapköve az Uniós polgárok és a tagállamok közötti szolidaritás. Ez a közös érték vezérli a fellépéseit, biztosítja továbbá a jelenlegi és jövőbeli társadalmi kihívások leküzdéséhez szükséges egységet, amelyek megoldását a gyakorlatban is megnyilvánuló szolidaritásukkal a fiatalok is szeretnének elősegíteni.</w:t>
            </w:r>
          </w:p>
        </w:tc>
        <w:tc>
          <w:tcPr>
            <w:tcW w:w="4646" w:type="dxa"/>
          </w:tcPr>
          <w:p w14:paraId="28B5493E" w14:textId="4DB9B8EA" w:rsidR="00231B3A" w:rsidRPr="00920901" w:rsidRDefault="00DC723A" w:rsidP="0081450B">
            <w:r>
              <w:t>Az Európai Unió alapköve az Uniós polgárok és a tagállamok</w:t>
            </w:r>
            <w:r>
              <w:rPr>
                <w:b/>
                <w:i/>
              </w:rPr>
              <w:t>, valamint a tagállamokhoz tartozó helyi és regionális közösségek</w:t>
            </w:r>
            <w:r>
              <w:t xml:space="preserve"> közötti szolidaritás </w:t>
            </w:r>
            <w:r>
              <w:rPr>
                <w:b/>
                <w:i/>
              </w:rPr>
              <w:t>és önkéntesség</w:t>
            </w:r>
            <w:r>
              <w:t>. Ez a közös érték vezérli a fellépéseit, biztosítja továbbá a jelenlegi és jövőbeli társadalmi kihívások leküzdéséhez szükséges egységet, amelyek megoldását a gyakorlatban is megnyilvánuló szolidaritásukkal a fiatalok is szeretnék elősegíteni</w:t>
            </w:r>
            <w:r>
              <w:rPr>
                <w:b/>
                <w:i/>
              </w:rPr>
              <w:t>, hosszú távú, egész életre szóló kötelezettségvállalásukkal a szolidaritás jegyében.</w:t>
            </w:r>
          </w:p>
        </w:tc>
      </w:tr>
    </w:tbl>
    <w:p w14:paraId="7C2CCF52" w14:textId="77777777" w:rsidR="00231B3A" w:rsidRPr="00920901" w:rsidRDefault="00231B3A" w:rsidP="0081450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231B3A" w:rsidRPr="00920901" w14:paraId="38D8326B" w14:textId="77777777" w:rsidTr="00D15720">
        <w:tc>
          <w:tcPr>
            <w:tcW w:w="9289" w:type="dxa"/>
          </w:tcPr>
          <w:p w14:paraId="5E1A7A71" w14:textId="77777777" w:rsidR="00231B3A" w:rsidRPr="00920901" w:rsidRDefault="00231B3A" w:rsidP="009B2F5B">
            <w:pPr>
              <w:keepNext/>
              <w:jc w:val="center"/>
              <w:rPr>
                <w:b/>
                <w:i/>
              </w:rPr>
            </w:pPr>
            <w:r>
              <w:rPr>
                <w:b/>
                <w:i/>
              </w:rPr>
              <w:t>Indokolás</w:t>
            </w:r>
          </w:p>
        </w:tc>
      </w:tr>
      <w:tr w:rsidR="00231B3A" w:rsidRPr="00920901" w14:paraId="49D5DF8F" w14:textId="77777777" w:rsidTr="00D15720">
        <w:tc>
          <w:tcPr>
            <w:tcW w:w="9289" w:type="dxa"/>
          </w:tcPr>
          <w:p w14:paraId="591305E4" w14:textId="2DB4E2E9" w:rsidR="00231B3A" w:rsidRPr="00920901" w:rsidRDefault="00F81179" w:rsidP="0081450B">
            <w:r>
              <w:t>A beillesztett szövegrész kiemeli a helyi és regionális dimenzió szerepét a fiatalok polgári szerepvállalásában, és azonosítja a szolidaritás területén az első alapvető kapcsolódási pontot.</w:t>
            </w:r>
          </w:p>
        </w:tc>
      </w:tr>
    </w:tbl>
    <w:p w14:paraId="2CEE41B9" w14:textId="77777777" w:rsidR="005F5322" w:rsidRPr="00920901" w:rsidRDefault="005F5322" w:rsidP="001A671F">
      <w:pPr>
        <w:ind w:left="-567"/>
        <w:rPr>
          <w:b/>
        </w:rPr>
      </w:pPr>
    </w:p>
    <w:p w14:paraId="4B5C28B4" w14:textId="77777777" w:rsidR="00361D92" w:rsidRPr="00920901" w:rsidRDefault="00361D92" w:rsidP="009B2F5B">
      <w:pPr>
        <w:keepNext/>
        <w:jc w:val="center"/>
        <w:rPr>
          <w:b/>
          <w:bCs/>
        </w:rPr>
      </w:pPr>
      <w:r>
        <w:rPr>
          <w:b/>
        </w:rPr>
        <w:t>2. módosítás</w:t>
      </w:r>
    </w:p>
    <w:p w14:paraId="6EAE9902" w14:textId="2E34A357" w:rsidR="00526DFF" w:rsidRPr="00920901" w:rsidRDefault="00C949F1" w:rsidP="009B2F5B">
      <w:pPr>
        <w:keepNext/>
        <w:jc w:val="center"/>
      </w:pPr>
      <w:r>
        <w:t xml:space="preserve">(6) preambulumbekezdés </w:t>
      </w:r>
    </w:p>
    <w:p w14:paraId="3B30D7F7" w14:textId="77777777" w:rsidR="00361D92" w:rsidRPr="00920901" w:rsidRDefault="00361D92" w:rsidP="009B2F5B">
      <w:pPr>
        <w:keepNext/>
        <w:jc w:val="cente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361D92" w:rsidRPr="00920901" w14:paraId="33B4BE10" w14:textId="77777777" w:rsidTr="00D15720">
        <w:tc>
          <w:tcPr>
            <w:tcW w:w="4643" w:type="dxa"/>
          </w:tcPr>
          <w:p w14:paraId="5BD9EA7B" w14:textId="77777777" w:rsidR="00361D92" w:rsidRPr="00920901" w:rsidRDefault="00361D92" w:rsidP="009B2F5B">
            <w:pPr>
              <w:keepNext/>
              <w:jc w:val="center"/>
              <w:rPr>
                <w:b/>
                <w:bCs/>
                <w:i/>
                <w:iCs/>
              </w:rPr>
            </w:pPr>
            <w:r>
              <w:rPr>
                <w:b/>
                <w:i/>
              </w:rPr>
              <w:t>Az Európai Bizottság által javasolt szöveg</w:t>
            </w:r>
          </w:p>
        </w:tc>
        <w:tc>
          <w:tcPr>
            <w:tcW w:w="4646" w:type="dxa"/>
          </w:tcPr>
          <w:p w14:paraId="52056306" w14:textId="77777777" w:rsidR="00361D92" w:rsidRPr="00920901" w:rsidRDefault="00361D92" w:rsidP="009B2F5B">
            <w:pPr>
              <w:keepNext/>
              <w:jc w:val="center"/>
              <w:rPr>
                <w:b/>
                <w:i/>
              </w:rPr>
            </w:pPr>
            <w:r>
              <w:rPr>
                <w:b/>
                <w:i/>
              </w:rPr>
              <w:t>Az RB módosítása</w:t>
            </w:r>
          </w:p>
        </w:tc>
      </w:tr>
      <w:tr w:rsidR="00361D92" w:rsidRPr="00920901" w14:paraId="52D529C2" w14:textId="77777777" w:rsidTr="00D15720">
        <w:tc>
          <w:tcPr>
            <w:tcW w:w="4643" w:type="dxa"/>
          </w:tcPr>
          <w:p w14:paraId="37EC4055" w14:textId="77777777" w:rsidR="00361D92" w:rsidRPr="00920901" w:rsidRDefault="00C949F1" w:rsidP="0081450B">
            <w:r>
              <w:t xml:space="preserve">A fiatalok számára kínált szolidaritási tevékenységeknek kiváló minőségűeknek kell lenniük, vagyis választ kell adniuk a kielégítetlen társadalmi igényekre, </w:t>
            </w:r>
            <w:r>
              <w:rPr>
                <w:b/>
                <w:i/>
              </w:rPr>
              <w:t>hozzá kell járulniuk a közösségek erősítéséhez,</w:t>
            </w:r>
            <w:r>
              <w:t xml:space="preserve"> lehetőségeket kell kínálniuk a fiataloknak, hogy értékes tudásra és készségekre tegyenek szert, anyagilag is megfizethetőnek kell lenniük a fiatalok számára, illetve biztonságos és egészséges körülmények között kell megvalósulniuk.</w:t>
            </w:r>
          </w:p>
        </w:tc>
        <w:tc>
          <w:tcPr>
            <w:tcW w:w="4646" w:type="dxa"/>
          </w:tcPr>
          <w:p w14:paraId="7D6CD285" w14:textId="77777777" w:rsidR="00361D92" w:rsidRPr="00920901" w:rsidRDefault="00C949F1" w:rsidP="0081450B">
            <w:pPr>
              <w:rPr>
                <w:highlight w:val="yellow"/>
              </w:rPr>
            </w:pPr>
            <w:r>
              <w:t xml:space="preserve">A fiatalok számára kínált szolidaritási tevékenységeknek kiváló minőségűeknek kell lenniük, vagyis választ kell adniuk a kielégítetlen társadalmi igényekre, </w:t>
            </w:r>
            <w:r>
              <w:rPr>
                <w:b/>
                <w:i/>
              </w:rPr>
              <w:t>kezdve a helyi szükségletek alapos felmérésével és hozzájárulva mindenekelőtt a kis helyi közösségek megerősítéséhez,</w:t>
            </w:r>
            <w:r>
              <w:t xml:space="preserve"> lehetőségeket kell kínálniuk a fiataloknak, hogy értékes tudásra és készségekre tegyenek szert, anyagilag is megfizethetőnek kell lenniük a fiatalok számára, illetve biztonságos és egészséges körülmények között kell megvalósulniuk.</w:t>
            </w:r>
          </w:p>
        </w:tc>
      </w:tr>
    </w:tbl>
    <w:p w14:paraId="56AFD19D" w14:textId="77777777" w:rsidR="00361D92" w:rsidRPr="00920901" w:rsidRDefault="00361D92" w:rsidP="0081450B">
      <w:pPr>
        <w:rPr>
          <w:highlight w:val="yell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361D92" w:rsidRPr="00920901" w14:paraId="2CF15A09" w14:textId="77777777" w:rsidTr="00D15720">
        <w:tc>
          <w:tcPr>
            <w:tcW w:w="9289" w:type="dxa"/>
          </w:tcPr>
          <w:p w14:paraId="32096195" w14:textId="77777777" w:rsidR="00361D92" w:rsidRPr="00920901" w:rsidRDefault="00361D92" w:rsidP="009B2F5B">
            <w:pPr>
              <w:keepNext/>
              <w:jc w:val="center"/>
              <w:rPr>
                <w:b/>
                <w:i/>
              </w:rPr>
            </w:pPr>
            <w:r>
              <w:rPr>
                <w:b/>
                <w:i/>
              </w:rPr>
              <w:t>Indokolás</w:t>
            </w:r>
          </w:p>
        </w:tc>
      </w:tr>
      <w:tr w:rsidR="00361D92" w:rsidRPr="00920901" w14:paraId="2839264E" w14:textId="77777777" w:rsidTr="00D15720">
        <w:tc>
          <w:tcPr>
            <w:tcW w:w="9289" w:type="dxa"/>
          </w:tcPr>
          <w:p w14:paraId="4217DAFE" w14:textId="1B96ED92" w:rsidR="00361D92" w:rsidRPr="00920901" w:rsidRDefault="00E83CDD" w:rsidP="009B2F5B">
            <w:r>
              <w:t>Hangsúlyozni kell a helyi társadalmi igényeknek és annak a fontosságát, hogy az önkéntes tevékenységek az egyes helyi vagy regionális közösségek támogatási formájává váljanak.</w:t>
            </w:r>
          </w:p>
        </w:tc>
      </w:tr>
    </w:tbl>
    <w:p w14:paraId="337F449F" w14:textId="77777777" w:rsidR="0048076C" w:rsidRPr="00920901" w:rsidRDefault="0048076C" w:rsidP="009B2F5B">
      <w:pPr>
        <w:ind w:left="-567"/>
        <w:rPr>
          <w:b/>
          <w:highlight w:val="yellow"/>
        </w:rPr>
      </w:pPr>
    </w:p>
    <w:p w14:paraId="347849C6" w14:textId="77777777" w:rsidR="00361D92" w:rsidRPr="00920901" w:rsidRDefault="00361D92" w:rsidP="009B2F5B">
      <w:pPr>
        <w:keepNext/>
        <w:jc w:val="center"/>
        <w:rPr>
          <w:b/>
          <w:bCs/>
        </w:rPr>
      </w:pPr>
      <w:r>
        <w:rPr>
          <w:b/>
        </w:rPr>
        <w:t>3. módosítás</w:t>
      </w:r>
    </w:p>
    <w:p w14:paraId="40D6578F" w14:textId="07506DBA" w:rsidR="00361D92" w:rsidRPr="00920901" w:rsidRDefault="00121D6A" w:rsidP="009B2F5B">
      <w:pPr>
        <w:keepNext/>
        <w:jc w:val="center"/>
        <w:rPr>
          <w:b/>
        </w:rPr>
      </w:pPr>
      <w:r>
        <w:t xml:space="preserve">(7) preambulumbekezdés </w:t>
      </w:r>
    </w:p>
    <w:p w14:paraId="79E9D320" w14:textId="77777777" w:rsidR="00361D92" w:rsidRPr="00920901" w:rsidRDefault="00361D92" w:rsidP="009B2F5B">
      <w:pPr>
        <w:keepNext/>
        <w:jc w:val="cente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361D92" w:rsidRPr="00920901" w14:paraId="241FDF0A" w14:textId="77777777" w:rsidTr="00D15720">
        <w:tc>
          <w:tcPr>
            <w:tcW w:w="4643" w:type="dxa"/>
          </w:tcPr>
          <w:p w14:paraId="1A556C16" w14:textId="77777777" w:rsidR="00361D92" w:rsidRPr="00920901" w:rsidRDefault="00361D92" w:rsidP="009B2F5B">
            <w:pPr>
              <w:keepNext/>
              <w:jc w:val="center"/>
              <w:rPr>
                <w:b/>
                <w:bCs/>
                <w:i/>
                <w:iCs/>
              </w:rPr>
            </w:pPr>
            <w:r>
              <w:rPr>
                <w:b/>
                <w:i/>
              </w:rPr>
              <w:t>Az Európai Bizottság által javasolt szöveg</w:t>
            </w:r>
          </w:p>
        </w:tc>
        <w:tc>
          <w:tcPr>
            <w:tcW w:w="4646" w:type="dxa"/>
          </w:tcPr>
          <w:p w14:paraId="5A204C67" w14:textId="77777777" w:rsidR="00361D92" w:rsidRPr="00920901" w:rsidRDefault="00361D92" w:rsidP="009B2F5B">
            <w:pPr>
              <w:keepNext/>
              <w:jc w:val="center"/>
              <w:rPr>
                <w:b/>
                <w:i/>
              </w:rPr>
            </w:pPr>
            <w:r>
              <w:rPr>
                <w:b/>
                <w:i/>
              </w:rPr>
              <w:t>Az RB módosítása</w:t>
            </w:r>
          </w:p>
        </w:tc>
      </w:tr>
      <w:tr w:rsidR="00361D92" w:rsidRPr="00920901" w14:paraId="71904535" w14:textId="77777777" w:rsidTr="00D15720">
        <w:tc>
          <w:tcPr>
            <w:tcW w:w="4643" w:type="dxa"/>
          </w:tcPr>
          <w:p w14:paraId="1E819201" w14:textId="27C7D97F" w:rsidR="00361D92" w:rsidRPr="00920901" w:rsidRDefault="00DC723A">
            <w:r>
              <w:t>Az Európai Szolidaritási Testület egyablakos ügyintézést biztosít az Unión belül és kívül végzett szolidaritási tevékenységek tekintetében. Biztosítani kell a más vonatkozó uniós szakpolitikákkal és programokkal való összhangot és kiegészítő jelleget. Az Európai Szolidaritási Testület programja az elődprogramok és már működő programok, úgymint az európai önkéntes szolgálat[1] és az EU segítségnyújtási önkéntesei kezdeményezés[2] erősségeire és szinergikus hatásaira épít. A program kiegészíti a tagállamok arra irányuló munkáját is, hogy az ifjúsági garancia keretében támogassák a fiatalokat és megkönnyítsék az iskolából vagy képzésből a munkába való átmenetüket, ezért a program az adott tagállamban vagy külföldön a szolidaritással kapcsolatos területeken gyakornoki vagy álláslehetőségek formájában további lehetőségeket biztosít számukra a munkaerőpiaci megjelenéshez. Az Európai Szolidaritási Testület keretében folyó tevékenységekhez kapcsolódó, már létező uniós szintű hálózatokkal, például az állami foglalkoztatási szolgálatok európai hálózatával, valamint az EURES és az Eurodesk hálózattal biztosított a kiegészítő jelleg. Ezenkívül adott esetben a bevált gyakorlatokra is építve biztosítani kell, hogy kiegészítsék egymást a kapcsolódó, már működő rendszerek is, különösen a fiatalok érdekeit szolgáló nemzeti szolidaritási rendszerek és mobilitási rendszerek, illetve az Európai Szolidaritási Testület.</w:t>
            </w:r>
          </w:p>
          <w:p w14:paraId="539DA401" w14:textId="516EF9EA" w:rsidR="00F87834" w:rsidRPr="00920901" w:rsidRDefault="00F87834"/>
          <w:p w14:paraId="2976755B" w14:textId="61737701" w:rsidR="00F87834" w:rsidRPr="00920901" w:rsidRDefault="00F87834"/>
          <w:p w14:paraId="25A943BF" w14:textId="673D5B8C" w:rsidR="00F87834" w:rsidRPr="00920901" w:rsidRDefault="00F87834"/>
          <w:p w14:paraId="37EDEF77" w14:textId="3A94430D" w:rsidR="00F87834" w:rsidRPr="00920901" w:rsidRDefault="00F87834"/>
          <w:p w14:paraId="64DD1134" w14:textId="706893F1" w:rsidR="00F87834" w:rsidRPr="00920901" w:rsidRDefault="00F87834"/>
          <w:p w14:paraId="77008846" w14:textId="0AFC93C0" w:rsidR="00F87834" w:rsidRPr="00920901" w:rsidRDefault="00F87834"/>
          <w:p w14:paraId="16BCEAF1" w14:textId="46E37C7E" w:rsidR="00F87834" w:rsidRPr="00920901" w:rsidRDefault="00F87834"/>
          <w:p w14:paraId="202BCE49" w14:textId="01B8022E" w:rsidR="00F87834" w:rsidRPr="00920901" w:rsidRDefault="00F87834"/>
          <w:p w14:paraId="0B385590" w14:textId="5C66742B" w:rsidR="00F87834" w:rsidRPr="00920901" w:rsidRDefault="00F87834"/>
          <w:p w14:paraId="61837EE5" w14:textId="5E3D5695" w:rsidR="00F87834" w:rsidRPr="00920901" w:rsidRDefault="00F87834"/>
          <w:p w14:paraId="722F87EA" w14:textId="77777777" w:rsidR="00F87834" w:rsidRPr="00920901" w:rsidRDefault="00F87834"/>
          <w:p w14:paraId="3B16621C" w14:textId="341AB328" w:rsidR="00F87834" w:rsidRPr="00920901" w:rsidRDefault="006C7A92">
            <w:r>
              <w:rPr>
                <w:sz w:val="20"/>
              </w:rPr>
              <w:pict w14:anchorId="1B8ABA53">
                <v:rect id="_x0000_i1025" style="width:0;height:1.5pt" o:hralign="center" o:hrstd="t" o:hr="t" fillcolor="#a0a0a0" stroked="f"/>
              </w:pict>
            </w:r>
          </w:p>
          <w:p w14:paraId="1C0A36AB" w14:textId="3C79C67C" w:rsidR="00F87834" w:rsidRPr="00920901" w:rsidRDefault="00F87834">
            <w:r>
              <w:t>[1] Az Európai Parlament és a Tanács 1288/2013/EU Rendelete (2013. december 11.) az „Erasmus+”: elnevezésű uniós oktatási, képzési, ifjúsági és sportprogram létrehozásáról, valamint az 1719/2006/EK, az 1720/2006/EK és az 1298/2008/EK határozat hatályon kívül helyezéséről (HL L 347., 2013.12.20., 50. o.).</w:t>
            </w:r>
          </w:p>
          <w:p w14:paraId="75BC5161" w14:textId="381B7E72" w:rsidR="00F87834" w:rsidRPr="00920901" w:rsidRDefault="00F87834">
            <w:pPr>
              <w:rPr>
                <w:highlight w:val="yellow"/>
              </w:rPr>
            </w:pPr>
            <w:r>
              <w:t>[2] Az Európai Parlament és a Tanács 375/2014/EU rendelete (2014. április 3.) az Európai Önkéntes Humanitárius Segítségnyújtási Hadtest létrehozásáról (az „EU segítségnyújtási önkéntesei” kezdeményezés) (HL L 122., 2014.4.24., 1. o.).</w:t>
            </w:r>
          </w:p>
        </w:tc>
        <w:tc>
          <w:tcPr>
            <w:tcW w:w="4646" w:type="dxa"/>
          </w:tcPr>
          <w:p w14:paraId="28DA20FF" w14:textId="049ED31D" w:rsidR="00361D92" w:rsidRPr="00920901" w:rsidRDefault="00DC723A">
            <w:pPr>
              <w:rPr>
                <w:b/>
                <w:i/>
              </w:rPr>
            </w:pPr>
            <w:r>
              <w:t>Az Európai Szolidaritási Testület egyablakos ügyintézést biztosít az Unión belül és kívül végzett szolidaritási tevékenységek tekintetében. Biztosítani kell a más vonatkozó uniós szakpolitikákkal és programokkal való összhangot és kiegészítő jelleget</w:t>
            </w:r>
            <w:r>
              <w:rPr>
                <w:b/>
                <w:i/>
              </w:rPr>
              <w:t>, horizontális megközelítést alakítva ki, és a lehető legnagyobb mértékben ösztönözve az ágazatközi együttműködést.</w:t>
            </w:r>
            <w:r>
              <w:t xml:space="preserve"> Az Európai Szolidaritási Testület programja az elődprogramok és már működő programok, úgymint az európai önkéntes szolgálat[1] és az EU segítségnyújtási önkéntesei kezdeményezés[2] erősségeire és szinergikus hatásaira épít. A program kiegészíti a tagállamok arra irányuló munkáját is, hogy az ifjúsági garancia keretében támogassák a fiatalokat és megkönnyítsék az iskolából vagy képzésből a munkába való átmenetüket, ezért a program az adott tagállamban vagy külföldön a szolidaritással kapcsolatos területeken </w:t>
            </w:r>
            <w:r>
              <w:rPr>
                <w:b/>
                <w:i/>
              </w:rPr>
              <w:t>tanulószerződéses gyakorlati képzések</w:t>
            </w:r>
            <w:r>
              <w:rPr>
                <w:b/>
              </w:rPr>
              <w:t xml:space="preserve"> </w:t>
            </w:r>
            <w:r>
              <w:t>vagy álláslehetőségek formájában további lehetőségeket biztosít számukra a munkaerőpiaci megjelenéshez. Az Európai Szolidaritási Testület keretében folyó tevékenységekhez kapcsolódó, már létező uniós szintű hálózatokkal, például az állami foglalkoztatási szolgálatok európai hálózatával, valamint az EURES és az Eurodesk hálózattal</w:t>
            </w:r>
            <w:r>
              <w:rPr>
                <w:b/>
                <w:i/>
              </w:rPr>
              <w:t xml:space="preserve"> – illetve az olyan közösségi hálózatokkal is, mint az Európai Önkéntes Központ és az Európai Ifjúsági Fórum –</w:t>
            </w:r>
            <w:r>
              <w:t xml:space="preserve"> biztosított a kiegészítő jelleg. Ezenkívül adott esetben a bevált gyakorlatokra is építve biztosítani kell, hogy kiegészítsék egymást a kapcsolódó, már működő rendszerek is, különösen a fiatalok érdekeit szolgáló nemzeti szolidaritási rendszerek és mobilitási rendszerek, illetve az Európai Szolidaritási Testület</w:t>
            </w:r>
            <w:r>
              <w:rPr>
                <w:b/>
                <w:i/>
              </w:rPr>
              <w:t>, hogy szinergia, valamint állandó és közvetlen párbeszéd alakuljon ki minden érdekelt helyi és regionális önkormányzattal, illetve az összes olyan intézménnyel, régióközi szinten is, amelyek már profitáltak szolidaritási intézkedésekből és amelyek tapasztalataik révén javaslatokkal és új szolidaritási perspektívákkal szolgálhatnak.</w:t>
            </w:r>
          </w:p>
          <w:p w14:paraId="76305B92" w14:textId="496F4F65" w:rsidR="00F87834" w:rsidRPr="00920901" w:rsidRDefault="006C7A92" w:rsidP="00F87834">
            <w:r>
              <w:rPr>
                <w:sz w:val="20"/>
              </w:rPr>
              <w:pict w14:anchorId="08BCAE17">
                <v:rect id="_x0000_i1026" style="width:0;height:1.5pt" o:hralign="center" o:hrstd="t" o:hr="t" fillcolor="#a0a0a0" stroked="f"/>
              </w:pict>
            </w:r>
          </w:p>
          <w:p w14:paraId="0693454F" w14:textId="4B24DA39" w:rsidR="00F87834" w:rsidRPr="00920901" w:rsidRDefault="00F87834" w:rsidP="00F87834">
            <w:r>
              <w:t>[1] Az Európai Parlament és a Tanács 1288/2013/EU Rendelete (2013. december 11.) az „Erasmus+”: elnevezésű uniós oktatási, képzési, ifjúsági és sportprogram létrehozásáról, valamint az 1719/2006/EK, az 1720/2006/EK és az 1298/2008/EK határozat hatályon kívül helyezéséről (HL L 347., 2013.12.20., 50. o.).</w:t>
            </w:r>
          </w:p>
          <w:p w14:paraId="548AF2C5" w14:textId="492F0A02" w:rsidR="00F87834" w:rsidRPr="00AF6796" w:rsidRDefault="00F87834">
            <w:pPr>
              <w:rPr>
                <w:b/>
                <w:i/>
              </w:rPr>
            </w:pPr>
            <w:r>
              <w:t>[2] Az Európai Parlament és a Tanács 375/2014/EU rendelete (2014. április 3.) az Európai Önkéntes Humanitárius Segítségnyújtási Hadtest létrehozásáról (az „EU segítségnyújtási önkéntesei” kezdeményezés) (HL L 122., 2014.4.24., 1. o.).</w:t>
            </w:r>
          </w:p>
        </w:tc>
      </w:tr>
    </w:tbl>
    <w:p w14:paraId="46BBF3B2" w14:textId="77777777" w:rsidR="00361D92" w:rsidRPr="00920901" w:rsidRDefault="00361D92" w:rsidP="0081450B">
      <w:pPr>
        <w:rPr>
          <w:highlight w:val="yell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361D92" w:rsidRPr="00920901" w14:paraId="6F641F04" w14:textId="77777777" w:rsidTr="00D15720">
        <w:tc>
          <w:tcPr>
            <w:tcW w:w="9289" w:type="dxa"/>
          </w:tcPr>
          <w:p w14:paraId="3380CDCE" w14:textId="77777777" w:rsidR="00361D92" w:rsidRPr="00920901" w:rsidRDefault="00361D92" w:rsidP="009B2F5B">
            <w:pPr>
              <w:keepNext/>
              <w:jc w:val="center"/>
              <w:rPr>
                <w:b/>
                <w:i/>
                <w:highlight w:val="yellow"/>
              </w:rPr>
            </w:pPr>
            <w:r>
              <w:rPr>
                <w:b/>
                <w:i/>
              </w:rPr>
              <w:t>Indokolás</w:t>
            </w:r>
          </w:p>
        </w:tc>
      </w:tr>
      <w:tr w:rsidR="00361D92" w:rsidRPr="00920901" w14:paraId="72C24801" w14:textId="77777777" w:rsidTr="00D15720">
        <w:tc>
          <w:tcPr>
            <w:tcW w:w="9289" w:type="dxa"/>
          </w:tcPr>
          <w:p w14:paraId="6F06CBB8" w14:textId="5C15B3FC" w:rsidR="00361D92" w:rsidRPr="00920901" w:rsidRDefault="002E5082">
            <w:pPr>
              <w:rPr>
                <w:highlight w:val="yellow"/>
              </w:rPr>
            </w:pPr>
            <w:r>
              <w:t>Az Európai Bizottságnak támogatnia kell a minél több ágazatot átfogó megközelítést, és biztosítania kell a helyi és regionális önkormányzatoknak az Európai Szolidaritási Testülettel való együttműködésbe való nagyobb mértékű közvetlen bevonását, valamint folyamatos párbeszédet kell folytatnia azokkal a szereplőkkel, akik már aktívak ebben az ágazatban, és már profitáltak szolidaritási intézkedésekből.</w:t>
            </w:r>
          </w:p>
        </w:tc>
      </w:tr>
    </w:tbl>
    <w:p w14:paraId="22513970" w14:textId="77777777" w:rsidR="00361D92" w:rsidRPr="00920901" w:rsidRDefault="00361D92" w:rsidP="001A671F">
      <w:pPr>
        <w:rPr>
          <w:b/>
          <w:highlight w:val="yellow"/>
        </w:rPr>
      </w:pPr>
    </w:p>
    <w:p w14:paraId="211546E5" w14:textId="77777777" w:rsidR="00A1733E" w:rsidRPr="00920901" w:rsidRDefault="00A1733E" w:rsidP="009B2F5B">
      <w:pPr>
        <w:keepNext/>
        <w:jc w:val="center"/>
        <w:rPr>
          <w:b/>
          <w:bCs/>
        </w:rPr>
      </w:pPr>
      <w:r>
        <w:rPr>
          <w:b/>
        </w:rPr>
        <w:t>4. módosítás</w:t>
      </w:r>
    </w:p>
    <w:p w14:paraId="60DE1D24" w14:textId="6E904D4C" w:rsidR="00A1733E" w:rsidRPr="00920901" w:rsidRDefault="00FB4219" w:rsidP="009B2F5B">
      <w:pPr>
        <w:keepNext/>
        <w:jc w:val="center"/>
      </w:pPr>
      <w:r>
        <w:t xml:space="preserve">(10) preambulumbekezdés </w:t>
      </w:r>
    </w:p>
    <w:p w14:paraId="4410DC39" w14:textId="77777777" w:rsidR="00A1733E" w:rsidRPr="00920901" w:rsidRDefault="00A1733E" w:rsidP="009B2F5B">
      <w:pPr>
        <w:keepNext/>
        <w:jc w:val="cente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A1733E" w:rsidRPr="00920901" w14:paraId="0F2AA225" w14:textId="77777777" w:rsidTr="00474CF7">
        <w:tc>
          <w:tcPr>
            <w:tcW w:w="4643" w:type="dxa"/>
          </w:tcPr>
          <w:p w14:paraId="55DD50FF" w14:textId="77777777" w:rsidR="00A1733E" w:rsidRPr="00920901" w:rsidRDefault="00A1733E" w:rsidP="009B2F5B">
            <w:pPr>
              <w:keepNext/>
              <w:jc w:val="center"/>
              <w:rPr>
                <w:b/>
                <w:bCs/>
                <w:i/>
                <w:iCs/>
              </w:rPr>
            </w:pPr>
            <w:r>
              <w:rPr>
                <w:b/>
                <w:i/>
              </w:rPr>
              <w:t>Az Európai Bizottság által javasolt szöveg</w:t>
            </w:r>
          </w:p>
        </w:tc>
        <w:tc>
          <w:tcPr>
            <w:tcW w:w="4646" w:type="dxa"/>
          </w:tcPr>
          <w:p w14:paraId="26791BC2" w14:textId="77777777" w:rsidR="00A1733E" w:rsidRPr="00920901" w:rsidRDefault="00A1733E" w:rsidP="009B2F5B">
            <w:pPr>
              <w:keepNext/>
              <w:jc w:val="center"/>
              <w:rPr>
                <w:b/>
                <w:bCs/>
                <w:i/>
                <w:iCs/>
              </w:rPr>
            </w:pPr>
            <w:r>
              <w:rPr>
                <w:b/>
                <w:i/>
              </w:rPr>
              <w:t>Az RB módosítása</w:t>
            </w:r>
          </w:p>
        </w:tc>
      </w:tr>
      <w:tr w:rsidR="00A1733E" w:rsidRPr="00920901" w14:paraId="5FF3E820" w14:textId="77777777" w:rsidTr="00474CF7">
        <w:tc>
          <w:tcPr>
            <w:tcW w:w="4643" w:type="dxa"/>
          </w:tcPr>
          <w:p w14:paraId="719B0F8C" w14:textId="117169EF" w:rsidR="00A1733E" w:rsidRPr="00920901" w:rsidRDefault="00DC723A" w:rsidP="0081450B">
            <w:r>
              <w:t xml:space="preserve">E tevékenységeknek a közösségek javát kell szolgálniuk, egyúttal előmozdítva az egyén személyes, szociális, állampolgári és szakmai fejlődését is, és önkéntes munka, szakmai gyakorlatok, állások, projektek és hálózatépítési tevékenységek formáját ölthetik többek között a következő területeken: oktatás és képzés, foglalkoztatás, nemek közötti egyenlőség, vállalkozások (különösen szociális vállalkozások), állampolgárság és demokratikus részvétel, környezet- és természetvédelem, az éghajlatváltozással összefüggő tevékenységek, katasztrófavédelmi megelőzés, felkészültség és helyreállítás, mezőgazdaság és vidékfejlesztés, élelmiszerek és nem élelmiszer jellegű termékek biztosítása, egészség és jóllét, kreativitás és kultúra, </w:t>
            </w:r>
            <w:r>
              <w:rPr>
                <w:b/>
                <w:i/>
              </w:rPr>
              <w:t>testnevelés és sport,</w:t>
            </w:r>
            <w:r>
              <w:t xml:space="preserve"> szociális segítségnyújtás és ellátás, harmadik országbeli állampolgárok befogadása és integrációja, területi együttműködés és kohézió, határokon átnyúló együttműködés. E tevékenységeknek jelentős tanulmányi és képzési vetülettel is rendelkezniük kell, mivel a résztvevők a szolidaritási tevékenységet megelőzően, az alatt és azt követően is részt vehetnek egyéb releváns tevékenységekben.</w:t>
            </w:r>
          </w:p>
        </w:tc>
        <w:tc>
          <w:tcPr>
            <w:tcW w:w="4646" w:type="dxa"/>
          </w:tcPr>
          <w:p w14:paraId="64B07135" w14:textId="47A6AA15" w:rsidR="00A1733E" w:rsidRPr="00920901" w:rsidRDefault="00DC723A">
            <w:r>
              <w:t xml:space="preserve">E tevékenységeknek a </w:t>
            </w:r>
            <w:r>
              <w:rPr>
                <w:b/>
                <w:i/>
              </w:rPr>
              <w:t>helyi</w:t>
            </w:r>
            <w:r>
              <w:t xml:space="preserve"> közösségek javát kell szolgálniuk, egyúttal előmozdítva az egyén személyes, szociális, állampolgári és szakmai</w:t>
            </w:r>
            <w:r>
              <w:rPr>
                <w:b/>
                <w:i/>
              </w:rPr>
              <w:t>, illetve sportnevelési</w:t>
            </w:r>
            <w:r>
              <w:t xml:space="preserve"> fejlődését is, és önkéntes munka, </w:t>
            </w:r>
            <w:r>
              <w:rPr>
                <w:b/>
                <w:i/>
              </w:rPr>
              <w:t>tanulószerződéses gyakorlati képzés,</w:t>
            </w:r>
            <w:r>
              <w:t xml:space="preserve"> szakmai gyakorlatok, állások, projektek és hálózatépítési tevékenységek formáját ölthetik többek között a következő területeken: oktatás és képzés, foglalkoztatás, nemek közötti egyenlőség, vállalkozások (különösen szociális vállalkozások), állampolgárság és demokratikus részvétel, </w:t>
            </w:r>
            <w:r>
              <w:rPr>
                <w:b/>
                <w:i/>
              </w:rPr>
              <w:t>a testnevelés és a sport,</w:t>
            </w:r>
            <w:r>
              <w:t xml:space="preserve"> környezet- és természetvédelem, az éghajlatváltozással összefüggő tevékenységek, katasztrófavédelmi megelőzés, felkészültség és helyreállítás, mezőgazdaság és vidékfejlesztés, élelmiszerek és nem élelmiszer jellegű termékek biztosítása, egészség és jóllét, kreativitás és kultúra, szociális segítségnyújtás és ellátás, harmadik országbeli állampolgárok befogadása és integrációja, területi együttműködés és kohézió, </w:t>
            </w:r>
            <w:r>
              <w:rPr>
                <w:b/>
                <w:i/>
              </w:rPr>
              <w:t>a helyi és regionális kulturális és művészeti örökség – akár tárgyi, akár eszmei örökség – felértékelése és helyreállítása,</w:t>
            </w:r>
            <w:r>
              <w:t xml:space="preserve"> határokon átnyúló együttműködés. E tevékenységeknek jelentős tanulmányi és képzési vetülettel is rendelkezniük kell, mivel a résztvevők a szolidaritási tevékenységet megelőzően, az alatt és azt követően is részt vehetnek egyéb releváns tevékenységekben.</w:t>
            </w:r>
          </w:p>
        </w:tc>
      </w:tr>
    </w:tbl>
    <w:p w14:paraId="2B1D06B7" w14:textId="77777777" w:rsidR="00A1733E" w:rsidRPr="00920901" w:rsidRDefault="00A1733E" w:rsidP="0081450B">
      <w:pPr>
        <w:rPr>
          <w:highlight w:val="yell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A1733E" w:rsidRPr="00920901" w14:paraId="34563F76" w14:textId="77777777" w:rsidTr="00474CF7">
        <w:tc>
          <w:tcPr>
            <w:tcW w:w="9289" w:type="dxa"/>
          </w:tcPr>
          <w:p w14:paraId="13977453" w14:textId="77777777" w:rsidR="00A1733E" w:rsidRPr="00920901" w:rsidRDefault="00A1733E" w:rsidP="009B2F5B">
            <w:pPr>
              <w:keepNext/>
              <w:jc w:val="center"/>
              <w:rPr>
                <w:bCs/>
                <w:i/>
                <w:iCs/>
              </w:rPr>
            </w:pPr>
            <w:r>
              <w:rPr>
                <w:b/>
                <w:i/>
              </w:rPr>
              <w:t>Indokolás</w:t>
            </w:r>
          </w:p>
        </w:tc>
      </w:tr>
      <w:tr w:rsidR="00A1733E" w:rsidRPr="00920901" w14:paraId="42989134" w14:textId="77777777" w:rsidTr="00474CF7">
        <w:tc>
          <w:tcPr>
            <w:tcW w:w="9289" w:type="dxa"/>
          </w:tcPr>
          <w:p w14:paraId="6BCD6B41" w14:textId="5FD7B1CE" w:rsidR="00A1733E" w:rsidRPr="00920901" w:rsidRDefault="001B7B74" w:rsidP="0081450B">
            <w:r>
              <w:t>A Régiók Bizottsága hangsúlyozza annak szükségességét, hogy elősegítsék a helyi és regionális közösségek és az összes érdekelt fél részvételét elsősorban sportos képzési programok, valamint a helyi kulturális és művészeti örökség felértékelését és helyreállítását célzó kezdeményezések révén.</w:t>
            </w:r>
          </w:p>
        </w:tc>
      </w:tr>
    </w:tbl>
    <w:p w14:paraId="720743A4" w14:textId="77777777" w:rsidR="00F157D2" w:rsidRPr="00920901" w:rsidRDefault="00F157D2" w:rsidP="0081450B">
      <w:pPr>
        <w:rPr>
          <w:bCs/>
          <w:highlight w:val="yellow"/>
        </w:rPr>
      </w:pPr>
    </w:p>
    <w:p w14:paraId="1BBADCEC" w14:textId="77777777" w:rsidR="007D375B" w:rsidRPr="00920901" w:rsidRDefault="007D375B" w:rsidP="009B2F5B">
      <w:pPr>
        <w:keepNext/>
        <w:jc w:val="center"/>
        <w:rPr>
          <w:b/>
          <w:bCs/>
        </w:rPr>
      </w:pPr>
      <w:r>
        <w:rPr>
          <w:b/>
        </w:rPr>
        <w:t>5. módosítás</w:t>
      </w:r>
    </w:p>
    <w:p w14:paraId="7D47C5DF" w14:textId="5CD6C99F" w:rsidR="007D375B" w:rsidRPr="00920901" w:rsidRDefault="009345E6" w:rsidP="009B2F5B">
      <w:pPr>
        <w:keepNext/>
        <w:jc w:val="center"/>
      </w:pPr>
      <w:r>
        <w:t xml:space="preserve">(11) preambulumbekezdés </w:t>
      </w:r>
    </w:p>
    <w:p w14:paraId="457EEFC7" w14:textId="77777777" w:rsidR="007D375B" w:rsidRPr="00920901" w:rsidRDefault="007D375B" w:rsidP="009B2F5B">
      <w:pPr>
        <w:keepNext/>
        <w:jc w:val="cente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375B" w:rsidRPr="00920901" w14:paraId="26D288E8" w14:textId="77777777" w:rsidTr="00FB3CDF">
        <w:tc>
          <w:tcPr>
            <w:tcW w:w="4643" w:type="dxa"/>
          </w:tcPr>
          <w:p w14:paraId="31C17132" w14:textId="77777777" w:rsidR="007D375B" w:rsidRPr="00920901" w:rsidRDefault="007D375B" w:rsidP="009B2F5B">
            <w:pPr>
              <w:keepNext/>
              <w:jc w:val="center"/>
              <w:rPr>
                <w:b/>
                <w:bCs/>
                <w:i/>
                <w:iCs/>
              </w:rPr>
            </w:pPr>
            <w:r>
              <w:rPr>
                <w:b/>
                <w:i/>
              </w:rPr>
              <w:t>Az Európai Bizottság által javasolt szöveg</w:t>
            </w:r>
          </w:p>
        </w:tc>
        <w:tc>
          <w:tcPr>
            <w:tcW w:w="4646" w:type="dxa"/>
          </w:tcPr>
          <w:p w14:paraId="65206513" w14:textId="77777777" w:rsidR="007D375B" w:rsidRPr="00920901" w:rsidRDefault="007D375B" w:rsidP="009B2F5B">
            <w:pPr>
              <w:keepNext/>
              <w:jc w:val="center"/>
              <w:rPr>
                <w:b/>
                <w:bCs/>
                <w:i/>
                <w:iCs/>
              </w:rPr>
            </w:pPr>
            <w:r>
              <w:rPr>
                <w:b/>
                <w:i/>
              </w:rPr>
              <w:t>Az RB módosítása</w:t>
            </w:r>
          </w:p>
        </w:tc>
      </w:tr>
      <w:tr w:rsidR="007D375B" w:rsidRPr="00920901" w14:paraId="77AB02F5" w14:textId="77777777" w:rsidTr="00FB3CDF">
        <w:tc>
          <w:tcPr>
            <w:tcW w:w="4643" w:type="dxa"/>
          </w:tcPr>
          <w:p w14:paraId="75DB018C" w14:textId="53918DC8" w:rsidR="007D375B" w:rsidRPr="00920901" w:rsidRDefault="009345E6" w:rsidP="0081450B">
            <w:pPr>
              <w:rPr>
                <w:highlight w:val="yellow"/>
              </w:rPr>
            </w:pPr>
            <w:r>
              <w:t>Az önkéntes tevékenységek – függetlenül attól, hogy az Unión belül vagy harmadik országban zajlanak – bőséges tapasztalatszerzési lehetőségeket jelentenek, amelyekre nem formális és informális tanulmányi környezetben kerül sor; ez javítja a fiatalok személyes, szociális és szakmai fejlődését, tevékeny polgári szerepvállalását és foglalkoztatási lehetőségeit. Az önkéntes tevékenységek nem befolyásolhatják kedvezőtlenül a potenciális vagy már létező fizetett munkavégzést, és ezek pótlásának sem szabad tekinteni őket. A Bizottságnak és a tagállamoknak a nyitott koordinációs módszer keretében együtt kell működniük az ifjúsági önkéntességre vonatkozó szakpolitikák területén.</w:t>
            </w:r>
          </w:p>
        </w:tc>
        <w:tc>
          <w:tcPr>
            <w:tcW w:w="4646" w:type="dxa"/>
          </w:tcPr>
          <w:p w14:paraId="6DD74CD2" w14:textId="66641B27" w:rsidR="007D375B" w:rsidRPr="00920901" w:rsidRDefault="009345E6">
            <w:pPr>
              <w:rPr>
                <w:b/>
                <w:highlight w:val="yellow"/>
              </w:rPr>
            </w:pPr>
            <w:r>
              <w:t>Az önkéntes tevékenységek – függetlenül attól, hogy az Unión belül vagy harmadik országban zajlanak – bőséges tapasztalatszerzési lehetőségeket jelentenek, amelyekre nem formális és informális tanulmányi környezetben kerül sor; ez javítja a fiatalok személyes, szociális és szakmai fejlődését, tevékeny polgári szerepvállalását és foglalkoztatási lehetőségeit. Az önkéntes tevékenységek nem befolyásolhatják kedvezőtlenül a potenciális vagy már létező fizetett munkavégzést, és ezek pótlásának sem szabad tekinteni őket. A Bizottságnak és a tagállamoknak a nyitott koordinációs módszer keretében együtt kell működniük az ifjúsági önkéntességre vonatkozó szakpolitikák területén</w:t>
            </w:r>
            <w:r>
              <w:rPr>
                <w:b/>
                <w:i/>
              </w:rPr>
              <w:t>, többek között közös eszközöket határozva meg az úgynevezett „be nem jelentett foglalkoztatás” és az önkéntes tevékenységgel való visszaélés ellen, amikor csak az a cél, hogy ne kelljen fizetni a szolidaritási tevékenység keretében foglalkoztatott fiataloknak</w:t>
            </w:r>
            <w:r>
              <w:t>.</w:t>
            </w:r>
          </w:p>
        </w:tc>
      </w:tr>
    </w:tbl>
    <w:p w14:paraId="769D55C8" w14:textId="77777777" w:rsidR="007D375B" w:rsidRPr="00920901" w:rsidRDefault="007D375B" w:rsidP="0081450B">
      <w:pPr>
        <w:rPr>
          <w:highlight w:val="yell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375B" w:rsidRPr="00920901" w14:paraId="0AE90C74" w14:textId="77777777" w:rsidTr="00FB3CDF">
        <w:tc>
          <w:tcPr>
            <w:tcW w:w="9289" w:type="dxa"/>
          </w:tcPr>
          <w:p w14:paraId="0CF0BF56" w14:textId="77777777" w:rsidR="007D375B" w:rsidRPr="00920901" w:rsidRDefault="007D375B" w:rsidP="009B2F5B">
            <w:pPr>
              <w:keepNext/>
              <w:jc w:val="center"/>
              <w:rPr>
                <w:bCs/>
                <w:i/>
                <w:iCs/>
              </w:rPr>
            </w:pPr>
            <w:r>
              <w:rPr>
                <w:b/>
                <w:i/>
              </w:rPr>
              <w:t>Indokolás</w:t>
            </w:r>
          </w:p>
        </w:tc>
      </w:tr>
      <w:tr w:rsidR="007D375B" w:rsidRPr="00920901" w14:paraId="0028DF03" w14:textId="77777777" w:rsidTr="00FB3CDF">
        <w:tc>
          <w:tcPr>
            <w:tcW w:w="9289" w:type="dxa"/>
          </w:tcPr>
          <w:p w14:paraId="298F7930" w14:textId="70CD254B" w:rsidR="007D375B" w:rsidRPr="00920901" w:rsidRDefault="000B2F63">
            <w:r>
              <w:t xml:space="preserve">A Régiók Bizottsága megismétli az Európai Bizottság és a tagállamok közötti koordinációs formák, valamint olyan eszközök meghatározásának szükségességét, amelyek egyértelműen meghúzzák az önkéntesség és a fizetett vagy a program keretében támogatott szolidaritási tevékenységek közötti határokat. </w:t>
            </w:r>
          </w:p>
        </w:tc>
      </w:tr>
    </w:tbl>
    <w:p w14:paraId="3B002EE3" w14:textId="77777777" w:rsidR="00856500" w:rsidRPr="00920901" w:rsidRDefault="00856500" w:rsidP="001A671F">
      <w:pPr>
        <w:rPr>
          <w:highlight w:val="yellow"/>
        </w:rPr>
      </w:pPr>
    </w:p>
    <w:p w14:paraId="1113882C" w14:textId="77777777" w:rsidR="00D3548E" w:rsidRPr="00920901" w:rsidRDefault="00D3548E" w:rsidP="009B2F5B">
      <w:pPr>
        <w:keepNext/>
        <w:jc w:val="center"/>
        <w:rPr>
          <w:b/>
          <w:bCs/>
        </w:rPr>
      </w:pPr>
      <w:r>
        <w:rPr>
          <w:b/>
        </w:rPr>
        <w:t>6. módosítás</w:t>
      </w:r>
    </w:p>
    <w:p w14:paraId="187C7900" w14:textId="58F69B0E" w:rsidR="00D3548E" w:rsidRPr="00920901" w:rsidRDefault="00A336BE" w:rsidP="009B2F5B">
      <w:pPr>
        <w:keepNext/>
        <w:jc w:val="center"/>
      </w:pPr>
      <w:r>
        <w:t xml:space="preserve">(12) preambulumbekezdés </w:t>
      </w:r>
    </w:p>
    <w:p w14:paraId="7A3ABB48" w14:textId="77777777" w:rsidR="00D3548E" w:rsidRPr="00920901" w:rsidRDefault="00D3548E" w:rsidP="009B2F5B">
      <w:pPr>
        <w:keepNext/>
        <w:jc w:val="cente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D3548E" w:rsidRPr="00920901" w14:paraId="5D5558BF" w14:textId="77777777" w:rsidTr="00FB3CDF">
        <w:tc>
          <w:tcPr>
            <w:tcW w:w="4643" w:type="dxa"/>
          </w:tcPr>
          <w:p w14:paraId="3A2FA188" w14:textId="77777777" w:rsidR="00D3548E" w:rsidRPr="00920901" w:rsidRDefault="00D3548E" w:rsidP="009B2F5B">
            <w:pPr>
              <w:keepNext/>
              <w:jc w:val="center"/>
              <w:rPr>
                <w:b/>
                <w:bCs/>
                <w:i/>
                <w:iCs/>
              </w:rPr>
            </w:pPr>
            <w:r>
              <w:rPr>
                <w:b/>
                <w:i/>
              </w:rPr>
              <w:t>Az Európai Bizottság által javasolt szöveg</w:t>
            </w:r>
          </w:p>
        </w:tc>
        <w:tc>
          <w:tcPr>
            <w:tcW w:w="4646" w:type="dxa"/>
          </w:tcPr>
          <w:p w14:paraId="5054B94B" w14:textId="77777777" w:rsidR="00D3548E" w:rsidRPr="00920901" w:rsidRDefault="00D3548E" w:rsidP="009B2F5B">
            <w:pPr>
              <w:keepNext/>
              <w:jc w:val="center"/>
              <w:rPr>
                <w:b/>
                <w:bCs/>
                <w:i/>
                <w:iCs/>
              </w:rPr>
            </w:pPr>
            <w:r>
              <w:rPr>
                <w:b/>
                <w:i/>
              </w:rPr>
              <w:t>Az RB módosítása</w:t>
            </w:r>
          </w:p>
        </w:tc>
      </w:tr>
      <w:tr w:rsidR="00D3548E" w:rsidRPr="00920901" w14:paraId="37CBDA4C" w14:textId="77777777" w:rsidTr="00FB3CDF">
        <w:tc>
          <w:tcPr>
            <w:tcW w:w="4643" w:type="dxa"/>
          </w:tcPr>
          <w:p w14:paraId="324E0DE0" w14:textId="091C98F3" w:rsidR="00D3548E" w:rsidRPr="007C1112" w:rsidRDefault="00A336BE" w:rsidP="0081450B">
            <w:r>
              <w:t>Szolidaritással kapcsolatos területeken a gyakornoki vagy álláslehetőségek további lehetőségeket kínálhatnak a fiatalok számára a munkaerőpiaci megjelenéshez,</w:t>
            </w:r>
            <w:r>
              <w:rPr>
                <w:b/>
                <w:i/>
              </w:rPr>
              <w:t xml:space="preserve"> miközben égető társadalmi problémák megoldásához is hozzájárulnak.</w:t>
            </w:r>
            <w:r>
              <w:t xml:space="preserve"> Elősegíthetik a fiatalok foglalkoztatási lehetőségeinek és termelékenységének javítását, miközben megkönnyíthetik a munkaerőpiaci lehetőségeik javítása szempontjából nagyon fontos átmenetet az oktatási rendszerből a munka világába. Az Európai Szolidaritási Testület keretében felkínált gyakornoki tevékenységekre a szakmai gyakorlatok minőségi keretrendszerének létrehozásáról szóló tanácsi ajánlásban meghatározott minőségi elveknek kell vonatkozniuk[1]. </w:t>
            </w:r>
            <w:r>
              <w:rPr>
                <w:b/>
                <w:i/>
              </w:rPr>
              <w:t>A felkínált gyakornoki vagy álláslehetőségek ugródeszkát jelentenek a fiatalok számára a munkaerőpiacra történő belépéshez</w:t>
            </w:r>
            <w:r>
              <w:t>, ezért a tevékenység lezárultával megfelelő támogatás is kapcsolódik hozzájuk. A szakmai gyakorlatokat és állásokat az érintett munkaerőpiaci szereplők, elsősorban a köz- és magánfoglalkoztatási szolgálatok, a szociális partnerek és a kereskedelmi kamarák közvetítik, és finanszírozásukat a részt vevő szervezetek biztosítják. A részt vevő szervezetek az Európai Szolidaritási Testület megfelelő végrehajtási szervezetén keresztül finanszírozási forrásokat igényelhetnek a fiatalok és a szolidaritási ágazatban szakmai gyakorlatokat és állásokat kínáló szervezetek közötti közvetítői feladatok ellátására.</w:t>
            </w:r>
          </w:p>
          <w:p w14:paraId="7EB591C6" w14:textId="1225FD3D" w:rsidR="00CB6146" w:rsidRPr="007C1112" w:rsidRDefault="00CB6146" w:rsidP="0081450B"/>
          <w:p w14:paraId="5670CFD8" w14:textId="77777777" w:rsidR="00CB6146" w:rsidRPr="007C1112" w:rsidRDefault="00CB6146" w:rsidP="0081450B"/>
          <w:p w14:paraId="07D35F1C" w14:textId="779F4CA4" w:rsidR="00CB6146" w:rsidRPr="007C1112" w:rsidRDefault="006C7A92" w:rsidP="0081450B">
            <w:r>
              <w:rPr>
                <w:sz w:val="20"/>
              </w:rPr>
              <w:pict w14:anchorId="1071C500">
                <v:rect id="_x0000_i1027" style="width:0;height:1.5pt" o:hralign="center" o:hrstd="t" o:hr="t" fillcolor="#a0a0a0" stroked="f"/>
              </w:pict>
            </w:r>
          </w:p>
          <w:p w14:paraId="2E3A83CF" w14:textId="7EABEBDD" w:rsidR="00CB6146" w:rsidRPr="007C1112" w:rsidRDefault="00CB6146" w:rsidP="0081450B">
            <w:r>
              <w:t>[1] A Tanács ajánlása (2018. március 15.) a színvonalas és eredményes tanulószerződéses gyakorlati képzés európai keretrendszeréről (HL C 153., 2018.5.2., 1. o.).</w:t>
            </w:r>
          </w:p>
        </w:tc>
        <w:tc>
          <w:tcPr>
            <w:tcW w:w="4646" w:type="dxa"/>
          </w:tcPr>
          <w:p w14:paraId="6F565CCC" w14:textId="29244891" w:rsidR="00D3548E" w:rsidRPr="007C1112" w:rsidRDefault="00A336BE">
            <w:r>
              <w:t xml:space="preserve">Szolidaritással kapcsolatos területeken </w:t>
            </w:r>
            <w:r>
              <w:rPr>
                <w:b/>
                <w:i/>
              </w:rPr>
              <w:t>a tanulószerződéses gyakorlati képzések,</w:t>
            </w:r>
            <w:r>
              <w:t xml:space="preserve"> a gyakornoki vagy álláslehetőségek további lehetőségeket kínálhatnak a fiatalok számára a munkaerőpiacra való belépéshez</w:t>
            </w:r>
            <w:r>
              <w:rPr>
                <w:b/>
                <w:i/>
              </w:rPr>
              <w:t>, miközben lehetőségük nyílik a szolidaritás szellemének hosszú távú fejlesztésére, még a magánéletben is</w:t>
            </w:r>
            <w:r>
              <w:t xml:space="preserve">. Elősegíthetik a fiatalok foglalkoztatási lehetőségeinek és termelékenységének javítását, miközben megkönnyíthetik a munkaerőpiaci lehetőségeik javítása szempontjából nagyon fontos átmenetet az oktatási rendszerből a munka világába. Az Európai Szolidaritási Testület keretében felkínált </w:t>
            </w:r>
            <w:r>
              <w:rPr>
                <w:b/>
                <w:i/>
              </w:rPr>
              <w:t>tanulószerződéses gyakorlati képzésekre és/vagy</w:t>
            </w:r>
            <w:r>
              <w:t xml:space="preserve"> gyakornoki tevékenységekre a szakmai gyakorlatok minőségi keretrendszerének létrehozásáról szóló tanácsi ajánlásban meghatározott minőségi elveknek kell vonatkozniuk[1], ezért a tevékenység lezárultával megfelelő támogatás is kapcsolódik hozzájuk. A szakmai gyakorlatokat</w:t>
            </w:r>
            <w:r>
              <w:rPr>
                <w:b/>
                <w:i/>
              </w:rPr>
              <w:t>, a tanulószerződéses gyakorlati képzéseket</w:t>
            </w:r>
            <w:r>
              <w:t xml:space="preserve"> és </w:t>
            </w:r>
            <w:r>
              <w:rPr>
                <w:b/>
                <w:i/>
              </w:rPr>
              <w:t xml:space="preserve">az </w:t>
            </w:r>
            <w:r>
              <w:t>állásokat az érintett munkaerőpiaci szereplők, elsősorban a köz- és magánfoglalkoztatási szolgálatok, a szociális partnerek</w:t>
            </w:r>
            <w:r>
              <w:rPr>
                <w:b/>
                <w:i/>
              </w:rPr>
              <w:t>, a valós helyi szükségleteket leginkább ismerő, érdekelt helyi és regionális intézmények</w:t>
            </w:r>
            <w:r>
              <w:t xml:space="preserve"> és a kereskedelmi kamarák közvetítik, és finanszírozásukat a részt vevő szervezetek biztosítják. A részt vevő szervezetek az Európai Szolidaritási Testület megfelelő végrehajtási szervezetén keresztül finanszírozási forrásokat igényelhetnek a fiatalok és a szolidaritási ágazatban szakmai gyakorlatokat</w:t>
            </w:r>
            <w:r>
              <w:rPr>
                <w:b/>
                <w:i/>
              </w:rPr>
              <w:t>, tanulószerződéses gyakorlati képzéseket</w:t>
            </w:r>
            <w:r>
              <w:t xml:space="preserve"> és állásokat kínáló szervezetek közötti közvetítői feladatok ellátására.</w:t>
            </w:r>
          </w:p>
          <w:p w14:paraId="05AA73E2" w14:textId="643558BC" w:rsidR="00CB6146" w:rsidRPr="007C1112" w:rsidRDefault="006C7A92">
            <w:r>
              <w:rPr>
                <w:sz w:val="20"/>
              </w:rPr>
              <w:pict w14:anchorId="36CCA727">
                <v:rect id="_x0000_i1028" style="width:0;height:1.5pt" o:hralign="center" o:hrstd="t" o:hr="t" fillcolor="#a0a0a0" stroked="f"/>
              </w:pict>
            </w:r>
          </w:p>
          <w:p w14:paraId="15DF6FAC" w14:textId="3EA4CC7F" w:rsidR="00CB6146" w:rsidRPr="007C1112" w:rsidRDefault="00CB6146">
            <w:pPr>
              <w:rPr>
                <w:b/>
              </w:rPr>
            </w:pPr>
            <w:r>
              <w:t>[1] A Tanács ajánlása (2018. március 15.) a színvonalas és eredményes tanulószerződéses gyakorlati képzés európai keretrendszeréről (HL C 153., 2018.5.2., 1. o.).</w:t>
            </w:r>
          </w:p>
        </w:tc>
      </w:tr>
    </w:tbl>
    <w:p w14:paraId="22827405" w14:textId="77777777" w:rsidR="00D3548E" w:rsidRPr="00920901" w:rsidRDefault="00D3548E" w:rsidP="0081450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D3548E" w:rsidRPr="00920901" w14:paraId="671A307F" w14:textId="77777777" w:rsidTr="00FB3CDF">
        <w:tc>
          <w:tcPr>
            <w:tcW w:w="9289" w:type="dxa"/>
          </w:tcPr>
          <w:p w14:paraId="01A9B890" w14:textId="77777777" w:rsidR="00D3548E" w:rsidRPr="00920901" w:rsidRDefault="00D3548E" w:rsidP="007D4838">
            <w:pPr>
              <w:keepNext/>
              <w:jc w:val="center"/>
              <w:rPr>
                <w:bCs/>
                <w:i/>
                <w:iCs/>
              </w:rPr>
            </w:pPr>
            <w:r>
              <w:rPr>
                <w:b/>
                <w:i/>
              </w:rPr>
              <w:t>Indokolás</w:t>
            </w:r>
          </w:p>
        </w:tc>
      </w:tr>
      <w:tr w:rsidR="00D3548E" w:rsidRPr="00920901" w14:paraId="4BDBED8F" w14:textId="77777777" w:rsidTr="00FB3CDF">
        <w:tc>
          <w:tcPr>
            <w:tcW w:w="9289" w:type="dxa"/>
          </w:tcPr>
          <w:p w14:paraId="72C35D37" w14:textId="52030913" w:rsidR="00D3548E" w:rsidRPr="00920901" w:rsidRDefault="00D3548E" w:rsidP="0081450B">
            <w:r>
              <w:t>A Régiók Bizottsága elismeri az ilyen szakmai gyakorlatok – mint a fiataloknak a munka világába történő belépését elősegítő eszköz – értékét, de felhívja a figyelmet arra, hogy alapos és rendszeres párbeszédet kell folytatni azokkal a helyi és regionális állami és magánszervezetekkel, amelyek rálátnak az adott terület valós társadalmi szükségleteire.</w:t>
            </w:r>
          </w:p>
        </w:tc>
      </w:tr>
    </w:tbl>
    <w:p w14:paraId="4F35540D" w14:textId="77777777" w:rsidR="007A6929" w:rsidRPr="00920901" w:rsidRDefault="007A6929" w:rsidP="001A671F">
      <w:pPr>
        <w:rPr>
          <w:highlight w:val="yellow"/>
        </w:rPr>
      </w:pPr>
    </w:p>
    <w:p w14:paraId="4BE64D0A" w14:textId="77777777" w:rsidR="00EA762A" w:rsidRPr="00920901" w:rsidRDefault="00EA762A" w:rsidP="009B2F5B">
      <w:pPr>
        <w:keepNext/>
        <w:jc w:val="center"/>
        <w:rPr>
          <w:b/>
          <w:bCs/>
        </w:rPr>
      </w:pPr>
      <w:r>
        <w:rPr>
          <w:b/>
        </w:rPr>
        <w:t>7. módosítás</w:t>
      </w:r>
    </w:p>
    <w:p w14:paraId="23A6AD14" w14:textId="3611D8D9" w:rsidR="00EA762A" w:rsidRPr="00920901" w:rsidRDefault="00CA0897" w:rsidP="009B2F5B">
      <w:pPr>
        <w:keepNext/>
        <w:jc w:val="center"/>
      </w:pPr>
      <w:r>
        <w:t xml:space="preserve">(13) preambulumbekezdés </w:t>
      </w:r>
    </w:p>
    <w:p w14:paraId="4C4A94E2" w14:textId="77777777" w:rsidR="00EA762A" w:rsidRPr="00920901" w:rsidRDefault="00EA762A" w:rsidP="009B2F5B">
      <w:pPr>
        <w:keepNext/>
        <w:jc w:val="cente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A762A" w:rsidRPr="00920901" w14:paraId="38C69F0D" w14:textId="77777777" w:rsidTr="009C5203">
        <w:tc>
          <w:tcPr>
            <w:tcW w:w="4643" w:type="dxa"/>
          </w:tcPr>
          <w:p w14:paraId="643E79EA" w14:textId="77777777" w:rsidR="00EA762A" w:rsidRPr="00920901" w:rsidRDefault="00EA762A" w:rsidP="009B2F5B">
            <w:pPr>
              <w:keepNext/>
              <w:jc w:val="center"/>
              <w:rPr>
                <w:b/>
                <w:bCs/>
                <w:i/>
                <w:iCs/>
              </w:rPr>
            </w:pPr>
            <w:r>
              <w:rPr>
                <w:b/>
                <w:i/>
              </w:rPr>
              <w:t>Az Európai Bizottság által javasolt szöveg</w:t>
            </w:r>
          </w:p>
        </w:tc>
        <w:tc>
          <w:tcPr>
            <w:tcW w:w="4646" w:type="dxa"/>
          </w:tcPr>
          <w:p w14:paraId="4BD801B7" w14:textId="77777777" w:rsidR="00EA762A" w:rsidRPr="00920901" w:rsidRDefault="00EA762A" w:rsidP="009B2F5B">
            <w:pPr>
              <w:keepNext/>
              <w:jc w:val="center"/>
              <w:rPr>
                <w:b/>
                <w:bCs/>
                <w:i/>
                <w:iCs/>
              </w:rPr>
            </w:pPr>
            <w:r>
              <w:rPr>
                <w:b/>
                <w:i/>
              </w:rPr>
              <w:t>Az RB módosítása</w:t>
            </w:r>
          </w:p>
        </w:tc>
      </w:tr>
      <w:tr w:rsidR="00EA762A" w:rsidRPr="00920901" w14:paraId="5A3EA0A5" w14:textId="77777777" w:rsidTr="009C5203">
        <w:tc>
          <w:tcPr>
            <w:tcW w:w="4643" w:type="dxa"/>
          </w:tcPr>
          <w:p w14:paraId="36D079D5" w14:textId="50C4BD71" w:rsidR="00EA762A" w:rsidRPr="00920901" w:rsidRDefault="00CA0897" w:rsidP="0081450B">
            <w:r>
              <w:t>A fiatalok kezdeményező szelleme a társadalom és a munkaerőpiac számára is fontos érték. Az Európai Szolidaritási Testület hozzájárul ahhoz, hogy ezt az aspektust erősítve lehetőséget biztosítson a fiataloknak olyan saját projektek megtervezéséhez és végrehajtásához, amelyek a helyi közösségek előnyére konkrét problémák megoldását célozzák. Ezek a projektek lehetőséget biztosítanak ötletek kipróbálásához, illetve támogatják a fiatalokat abban, hogy maguk is szolidaritási tevékenységek kezdeményezőivé váljanak. Emellett kiindulópontot adnak további szolidaritási tevékenységek végzéséhez, és az első ösztönző lépést jelenthetik az Európai Szolidaritási Testületben részt vevők számára önálló vállalkozások létrehozása, vagy pedig egyesületek, nem kormányzati szervezetek vagy más, a szolidaritási, a nonprofit és az ifjúsági ágazatban működő testületek megalakítása felé.</w:t>
            </w:r>
          </w:p>
        </w:tc>
        <w:tc>
          <w:tcPr>
            <w:tcW w:w="4646" w:type="dxa"/>
          </w:tcPr>
          <w:p w14:paraId="76DEBE7C" w14:textId="6D6454AC" w:rsidR="00EA762A" w:rsidRPr="00920901" w:rsidRDefault="00CA0897" w:rsidP="0081450B">
            <w:r>
              <w:t xml:space="preserve">A fiatalok kezdeményező szelleme a társadalom és a munkaerőpiac számára is fontos érték. Az Európai Szolidaritási Testület hozzájárul ahhoz, hogy ezt az aspektust erősítve lehetőséget biztosítson a fiataloknak olyan saját projektek megtervezéséhez és végrehajtásához, amelyek a helyi közösségek előnyére konkrét problémák megoldását célozzák. Ezek a projektek lehetőséget biztosítanak ötletek kipróbálására, illetve támogatják a fiatalokat abban, hogy maguk is </w:t>
            </w:r>
            <w:r>
              <w:rPr>
                <w:b/>
                <w:i/>
              </w:rPr>
              <w:t>a helyi közösségek javát szolgáló</w:t>
            </w:r>
            <w:r>
              <w:t xml:space="preserve"> szolidaritási tevékenységek kezdeményezőivé váljanak</w:t>
            </w:r>
            <w:r>
              <w:rPr>
                <w:b/>
                <w:i/>
              </w:rPr>
              <w:t>, illetve ösztönzik a polgári szerepvállalást, küzdve a társadalmi kirekesztés és a vidékről városba történő migráció ellen is</w:t>
            </w:r>
            <w:r>
              <w:t>. Emellett kiindulópontot adnak további szolidaritási tevékenységek végzéséhez, és az első ösztönző lépést jelenthetik az Európai Szolidaritási Testületben részt vevők számára önálló vállalkozások létrehozása, vagy pedig egyesületek, nem kormányzati szervezetek vagy más, a szolidaritási, a nonprofit és az ifjúsági ágazatban működő testületek megalakítása felé.</w:t>
            </w:r>
          </w:p>
        </w:tc>
      </w:tr>
    </w:tbl>
    <w:p w14:paraId="2FA5AEB0" w14:textId="77777777" w:rsidR="00EA762A" w:rsidRPr="00920901" w:rsidRDefault="00EA762A" w:rsidP="0081450B">
      <w:pPr>
        <w:rPr>
          <w:highlight w:val="yell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EA762A" w:rsidRPr="00920901" w14:paraId="542D3C57" w14:textId="77777777" w:rsidTr="009C5203">
        <w:tc>
          <w:tcPr>
            <w:tcW w:w="9289" w:type="dxa"/>
          </w:tcPr>
          <w:p w14:paraId="022B5A20" w14:textId="77777777" w:rsidR="00EA762A" w:rsidRPr="00920901" w:rsidRDefault="00EA762A" w:rsidP="009B2F5B">
            <w:pPr>
              <w:keepNext/>
              <w:jc w:val="center"/>
              <w:rPr>
                <w:bCs/>
                <w:i/>
                <w:iCs/>
              </w:rPr>
            </w:pPr>
            <w:r>
              <w:rPr>
                <w:b/>
                <w:i/>
              </w:rPr>
              <w:t>Indokolás</w:t>
            </w:r>
          </w:p>
        </w:tc>
      </w:tr>
      <w:tr w:rsidR="00EA762A" w:rsidRPr="00920901" w14:paraId="0C386EE5" w14:textId="77777777" w:rsidTr="009C5203">
        <w:tc>
          <w:tcPr>
            <w:tcW w:w="9289" w:type="dxa"/>
          </w:tcPr>
          <w:p w14:paraId="6670B0B8" w14:textId="3D341859" w:rsidR="006E1BC1" w:rsidRPr="00920901" w:rsidRDefault="00DE3E46" w:rsidP="0081450B">
            <w:r>
              <w:t>A Régiók Bizottsága hangsúlyozza egy olyan szolidaritási stratégia fontosságát, amely arra ösztönzi a fiatalokat, hogy később maguk is szerezzenek vállalkozói tapasztalatokat, a helyi és a befogadóbb közösségek javára.</w:t>
            </w:r>
          </w:p>
        </w:tc>
      </w:tr>
    </w:tbl>
    <w:p w14:paraId="6C02F7D1" w14:textId="77777777" w:rsidR="006E1BC1" w:rsidRPr="00920901" w:rsidRDefault="006E1BC1" w:rsidP="001A671F"/>
    <w:p w14:paraId="48EA08B5" w14:textId="77777777" w:rsidR="0008690F" w:rsidRPr="00920901" w:rsidRDefault="0008690F" w:rsidP="00AF6796">
      <w:pPr>
        <w:keepNext/>
        <w:keepLines/>
        <w:jc w:val="center"/>
        <w:rPr>
          <w:b/>
          <w:bCs/>
        </w:rPr>
      </w:pPr>
      <w:r>
        <w:rPr>
          <w:b/>
        </w:rPr>
        <w:t>8. módosítás</w:t>
      </w:r>
    </w:p>
    <w:p w14:paraId="67AED13C" w14:textId="7F46F3B2" w:rsidR="0008690F" w:rsidRPr="00920901" w:rsidRDefault="00306492" w:rsidP="00AF6796">
      <w:pPr>
        <w:keepNext/>
        <w:keepLines/>
        <w:jc w:val="center"/>
      </w:pPr>
      <w:r>
        <w:t xml:space="preserve">(14) preambulumbekezdés </w:t>
      </w:r>
    </w:p>
    <w:p w14:paraId="389DC948" w14:textId="77777777" w:rsidR="0008690F" w:rsidRPr="00920901" w:rsidRDefault="0008690F" w:rsidP="00AF6796">
      <w:pPr>
        <w:keepNext/>
        <w:keepLines/>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08690F" w:rsidRPr="00920901" w14:paraId="35B5D75B" w14:textId="77777777" w:rsidTr="00FB3CDF">
        <w:tc>
          <w:tcPr>
            <w:tcW w:w="4643" w:type="dxa"/>
          </w:tcPr>
          <w:p w14:paraId="183FAADF" w14:textId="77777777" w:rsidR="0008690F" w:rsidRPr="00920901" w:rsidRDefault="0008690F" w:rsidP="00AF6796">
            <w:pPr>
              <w:keepNext/>
              <w:keepLines/>
              <w:jc w:val="center"/>
              <w:rPr>
                <w:b/>
                <w:bCs/>
                <w:i/>
                <w:iCs/>
              </w:rPr>
            </w:pPr>
            <w:r>
              <w:rPr>
                <w:b/>
                <w:i/>
              </w:rPr>
              <w:t>Az Európai Bizottság által javasolt szöveg</w:t>
            </w:r>
          </w:p>
        </w:tc>
        <w:tc>
          <w:tcPr>
            <w:tcW w:w="4646" w:type="dxa"/>
          </w:tcPr>
          <w:p w14:paraId="5D8AED13" w14:textId="77777777" w:rsidR="0008690F" w:rsidRPr="00920901" w:rsidRDefault="0008690F" w:rsidP="00AF6796">
            <w:pPr>
              <w:keepNext/>
              <w:keepLines/>
              <w:jc w:val="center"/>
              <w:rPr>
                <w:b/>
                <w:bCs/>
                <w:i/>
                <w:iCs/>
              </w:rPr>
            </w:pPr>
            <w:r>
              <w:rPr>
                <w:b/>
                <w:i/>
              </w:rPr>
              <w:t>Az RB módosítása</w:t>
            </w:r>
          </w:p>
        </w:tc>
      </w:tr>
      <w:tr w:rsidR="0008690F" w:rsidRPr="00920901" w14:paraId="3EB535BE" w14:textId="77777777" w:rsidTr="00FB3CDF">
        <w:tc>
          <w:tcPr>
            <w:tcW w:w="4643" w:type="dxa"/>
          </w:tcPr>
          <w:p w14:paraId="1C1395A7" w14:textId="254E3D96" w:rsidR="0008690F" w:rsidRPr="00920901" w:rsidRDefault="00306492" w:rsidP="007D4838">
            <w:r>
              <w:t xml:space="preserve">Az Európai Szolidaritási Testületben részt vevő fiataloknak és szervezeteknek érezniük kell, hogy egy olyan közösségéhez tartoznak, amelyben a részt vevő magán- és jogi személyek elkötelezettek az európai szolidaritás erősítése iránt. A részt vevő szervezeteknek ugyanakkor a lehetőségeik fejlesztéséhez támogatásra is szükségük van, hogy egyre több résztvevő számára tudjanak jó minőségű tevékenységeket kínálni. Az Európai Szolidaritási Testület támogatja a fiatalok és a részt vevő szervezetek </w:t>
            </w:r>
            <w:r>
              <w:rPr>
                <w:b/>
                <w:i/>
              </w:rPr>
              <w:t xml:space="preserve">közösségi </w:t>
            </w:r>
            <w:r>
              <w:t>szerepvállalásának erősítésére, az Európai Szolidaritási Testület szellemének előmozdítására, illetve a hasznos módszerek és tapasztalatok cseréjének ösztönzésére irányuló hálózatépítési tevékenységeket. Ezek a tevékenységek hozzájárulnak továbbá a köz- és magánjogi szereplők körében az Európai Szolidaritási Testület ismertségének fokozásához, illetve a résztvevők és részt vevő szervezetek által az Európai Szolidaritási Testület megvalósításáról adott visszajelzések összegyűjtéséhez.</w:t>
            </w:r>
          </w:p>
        </w:tc>
        <w:tc>
          <w:tcPr>
            <w:tcW w:w="4646" w:type="dxa"/>
          </w:tcPr>
          <w:p w14:paraId="3660E81B" w14:textId="5A9762E7" w:rsidR="0008690F" w:rsidRPr="00920901" w:rsidRDefault="00306492" w:rsidP="007D4838">
            <w:pPr>
              <w:rPr>
                <w:b/>
                <w:i/>
              </w:rPr>
            </w:pPr>
            <w:r>
              <w:t>Az Európai Szolidaritási Testületben részt vevő fiataloknak és szervezeteknek érezniük kell, hogy egy olyan közösségéhez tartoznak, amelyben a részt vevő magán- és jogi személyek elkötelezettek az európai szolidaritás erősítése iránt. A részt vevő szervezeteknek ugyanakkor a lehetőségeik fejlesztéséhez támogatásra is szükségük van, hogy egyre több résztvevő számára tudjanak jó minőségű tevékenységeket kínálni. Az Európai Szolidaritási Testület támogatja a fiatalok és a részt vevő szervezetek szerepvállalásának erősítésére, az Európai Szolidaritási Testület szellemének előmozdítására, illetve a hasznos módszerek és tapasztalatok cseréjének ösztönzésére irányuló hálózatépítési tevékenységeket. Ezek a tevékenységek hozzájárulnak továbbá a köz- és magánjogi szereplők körében az Európai Szolidaritási Testület ismertségének fokozásához, illetve a résztvevők és részt vevő szervezetek által az Európai Szolidaritási Testület megvalósításáról adott visszajelzések</w:t>
            </w:r>
            <w:r>
              <w:rPr>
                <w:b/>
                <w:i/>
              </w:rPr>
              <w:t>nek, valamint a helyi közösségek igényeinek és elvárásainak az</w:t>
            </w:r>
            <w:r>
              <w:t xml:space="preserve"> összegyűjtéséhez</w:t>
            </w:r>
            <w:r>
              <w:rPr>
                <w:b/>
                <w:i/>
              </w:rPr>
              <w:t>. Ezek az elemek a projektek minőségének értékelésekor a legfontosabb kritériumok között kell hogy szerepeljenek</w:t>
            </w:r>
            <w:r>
              <w:t>.</w:t>
            </w:r>
          </w:p>
        </w:tc>
      </w:tr>
    </w:tbl>
    <w:p w14:paraId="48DB7D02" w14:textId="77777777" w:rsidR="0008690F" w:rsidRPr="00920901" w:rsidRDefault="0008690F" w:rsidP="007D4838">
      <w:pPr>
        <w:rPr>
          <w:highlight w:val="yell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08690F" w:rsidRPr="00920901" w14:paraId="6764A5BD" w14:textId="77777777" w:rsidTr="00FB3CDF">
        <w:tc>
          <w:tcPr>
            <w:tcW w:w="9289" w:type="dxa"/>
          </w:tcPr>
          <w:p w14:paraId="27579E67" w14:textId="77777777" w:rsidR="0008690F" w:rsidRPr="00920901" w:rsidRDefault="0008690F" w:rsidP="00AF6796">
            <w:pPr>
              <w:keepNext/>
              <w:keepLines/>
              <w:jc w:val="center"/>
              <w:rPr>
                <w:bCs/>
                <w:i/>
                <w:iCs/>
              </w:rPr>
            </w:pPr>
            <w:r>
              <w:rPr>
                <w:b/>
                <w:i/>
              </w:rPr>
              <w:t>Indokolás</w:t>
            </w:r>
          </w:p>
        </w:tc>
      </w:tr>
      <w:tr w:rsidR="0008690F" w:rsidRPr="00920901" w14:paraId="30955995" w14:textId="77777777" w:rsidTr="00FB3CDF">
        <w:tc>
          <w:tcPr>
            <w:tcW w:w="9289" w:type="dxa"/>
          </w:tcPr>
          <w:p w14:paraId="1B373913" w14:textId="77777777" w:rsidR="0008690F" w:rsidRPr="00920901" w:rsidRDefault="00516636" w:rsidP="007D4838">
            <w:r>
              <w:t>Elengedhetetlen az Európai Szolidaritási Testület és az összes érdekelt fél közötti aktív együttműködés, amely nemcsak arra képes, hogy válaszoljon, ha a felek tájékoztatást kérnek, hanem továbbítani tudja azokat a frissítéseket és információkat is, amelyek garantálhatják a projektek integráltabb megközelítését és minőségi fejlesztését.</w:t>
            </w:r>
          </w:p>
        </w:tc>
      </w:tr>
    </w:tbl>
    <w:p w14:paraId="6C9A6E23" w14:textId="77777777" w:rsidR="0008690F" w:rsidRPr="00920901" w:rsidRDefault="0008690F" w:rsidP="001A671F">
      <w:pPr>
        <w:rPr>
          <w:highlight w:val="yellow"/>
        </w:rPr>
      </w:pPr>
    </w:p>
    <w:p w14:paraId="7B8019B7" w14:textId="77777777" w:rsidR="006E1BC1" w:rsidRPr="00920901" w:rsidRDefault="006E1BC1" w:rsidP="009B2F5B">
      <w:pPr>
        <w:keepNext/>
        <w:jc w:val="center"/>
        <w:rPr>
          <w:b/>
          <w:bCs/>
        </w:rPr>
      </w:pPr>
      <w:r>
        <w:rPr>
          <w:b/>
        </w:rPr>
        <w:t>9. módosítás</w:t>
      </w:r>
    </w:p>
    <w:p w14:paraId="290C7227" w14:textId="78EDC0CF" w:rsidR="006E1BC1" w:rsidRPr="00920901" w:rsidRDefault="00864F5D" w:rsidP="009B2F5B">
      <w:pPr>
        <w:keepNext/>
        <w:jc w:val="center"/>
      </w:pPr>
      <w:r>
        <w:t xml:space="preserve">(15) preambulumbekezdés </w:t>
      </w:r>
    </w:p>
    <w:p w14:paraId="5D840288" w14:textId="77777777" w:rsidR="006E1BC1" w:rsidRPr="00920901" w:rsidRDefault="006E1BC1" w:rsidP="009B2F5B">
      <w:pPr>
        <w:keepNext/>
        <w:jc w:val="cente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6E1BC1" w:rsidRPr="00920901" w14:paraId="2BEED2B3" w14:textId="77777777" w:rsidTr="009C2B66">
        <w:tc>
          <w:tcPr>
            <w:tcW w:w="4643" w:type="dxa"/>
          </w:tcPr>
          <w:p w14:paraId="2C61F65F" w14:textId="77777777" w:rsidR="006E1BC1" w:rsidRPr="00920901" w:rsidRDefault="006E1BC1" w:rsidP="009B2F5B">
            <w:pPr>
              <w:keepNext/>
              <w:jc w:val="center"/>
              <w:rPr>
                <w:b/>
                <w:bCs/>
                <w:i/>
                <w:iCs/>
              </w:rPr>
            </w:pPr>
            <w:r>
              <w:rPr>
                <w:b/>
                <w:i/>
              </w:rPr>
              <w:t>Az Európai Bizottság által javasolt szöveg</w:t>
            </w:r>
          </w:p>
        </w:tc>
        <w:tc>
          <w:tcPr>
            <w:tcW w:w="4646" w:type="dxa"/>
          </w:tcPr>
          <w:p w14:paraId="4535619E" w14:textId="77777777" w:rsidR="006E1BC1" w:rsidRPr="00920901" w:rsidRDefault="006E1BC1" w:rsidP="009B2F5B">
            <w:pPr>
              <w:keepNext/>
              <w:jc w:val="center"/>
              <w:rPr>
                <w:b/>
                <w:bCs/>
                <w:i/>
                <w:iCs/>
              </w:rPr>
            </w:pPr>
            <w:r>
              <w:rPr>
                <w:b/>
                <w:i/>
              </w:rPr>
              <w:t>Az RB módosítása</w:t>
            </w:r>
          </w:p>
        </w:tc>
      </w:tr>
      <w:tr w:rsidR="006E1BC1" w:rsidRPr="00920901" w14:paraId="51F62FED" w14:textId="77777777" w:rsidTr="009C2B66">
        <w:tc>
          <w:tcPr>
            <w:tcW w:w="4643" w:type="dxa"/>
          </w:tcPr>
          <w:p w14:paraId="0415F0E0" w14:textId="07172D4A" w:rsidR="006E1BC1" w:rsidRPr="00920901" w:rsidRDefault="009E3972" w:rsidP="0081450B">
            <w:r>
              <w:t>Különös figyelmet kell fordítani az Európai Szolidaritási Testület által kínált tevékenységek és egyéb lehetőségek minőségének biztosítására, elsősorban a következők révén: a résztvevőknek nyújtott képzések, nyelvi támogatás, biztosítás, adminisztratív támogatás és a tevékenységeket követő támogatás, illetve az Európai Szolidaritási Testület keretében szerzett ismeretek, képességek és készségek érvényesítése. Az önkéntesek biztonsága és védelme továbbra is elsődleges fontosságú, ezért az önkéntesek nem küldhetők ki nemzetközi és belső fegyveres konfliktusok helyszínén folytatott műveletekhez.</w:t>
            </w:r>
          </w:p>
        </w:tc>
        <w:tc>
          <w:tcPr>
            <w:tcW w:w="4646" w:type="dxa"/>
          </w:tcPr>
          <w:p w14:paraId="58C67EAA" w14:textId="5486AF4B" w:rsidR="006E1BC1" w:rsidRPr="00920901" w:rsidRDefault="009E3972">
            <w:pPr>
              <w:rPr>
                <w:b/>
              </w:rPr>
            </w:pPr>
            <w:r>
              <w:t>Különös figyelmet kell fordítani az Európai Szolidaritási Testület által kínált tevékenységek és egyéb lehetőségek minőségének biztosítására, elsősorban a következők révén: a résztvevőknek nyújtott képzések, nyelvi támogatás, biztosítás, adminisztratív támogatás és a tevékenységeket követő támogatás, illetve az Európai Szolidaritási Testület keretében szerzett ismeretek, képességek és készségek érvényesítése</w:t>
            </w:r>
            <w:r>
              <w:rPr>
                <w:b/>
                <w:i/>
              </w:rPr>
              <w:t>, meghatározott tanúsítási kritériumok alapján</w:t>
            </w:r>
            <w:r>
              <w:t xml:space="preserve">. </w:t>
            </w:r>
            <w:r>
              <w:rPr>
                <w:b/>
                <w:i/>
              </w:rPr>
              <w:t xml:space="preserve">Az önkéntes tevékenységekbe be kell vonni profitorientált és közhasznú szervezeteket, alapítványokat, nonprofit szervezeteket, egyesületeket és szociális vállalkozásokat, és specifikus szabályokat kell kidolgozni az úgynevezett „occupational placements”-re, amelyek a szolidaritási projektek támogatását a tagállamok önálló kezdeményezésére esetleges adócsökkentésekkel/adókedvezményekkel segítik. </w:t>
            </w:r>
            <w:r>
              <w:t>Az önkéntesek biztonsága és védelme</w:t>
            </w:r>
            <w:r>
              <w:rPr>
                <w:b/>
                <w:i/>
              </w:rPr>
              <w:t xml:space="preserve"> továbbá</w:t>
            </w:r>
            <w:r>
              <w:t xml:space="preserve"> elsődleges fontosságú, ezért az önkéntesek nem küldhetők ki nemzetközi és belső fegyveres konfliktusok helyszínén folytatott műveletekhez.</w:t>
            </w:r>
          </w:p>
        </w:tc>
      </w:tr>
    </w:tbl>
    <w:p w14:paraId="6C996DB6" w14:textId="77777777" w:rsidR="006E1BC1" w:rsidRPr="00920901" w:rsidRDefault="006E1BC1" w:rsidP="0081450B">
      <w:pPr>
        <w:rPr>
          <w:highlight w:val="yell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6E1BC1" w:rsidRPr="00920901" w14:paraId="4FEBA016" w14:textId="77777777" w:rsidTr="009C2B66">
        <w:tc>
          <w:tcPr>
            <w:tcW w:w="9289" w:type="dxa"/>
          </w:tcPr>
          <w:p w14:paraId="5512DE6B" w14:textId="77777777" w:rsidR="006E1BC1" w:rsidRPr="00920901" w:rsidRDefault="006E1BC1" w:rsidP="009B2F5B">
            <w:pPr>
              <w:keepNext/>
              <w:jc w:val="center"/>
              <w:rPr>
                <w:bCs/>
                <w:i/>
                <w:iCs/>
              </w:rPr>
            </w:pPr>
            <w:r>
              <w:rPr>
                <w:b/>
                <w:i/>
              </w:rPr>
              <w:t>Indokolás</w:t>
            </w:r>
          </w:p>
        </w:tc>
      </w:tr>
      <w:tr w:rsidR="006E1BC1" w:rsidRPr="00920901" w14:paraId="6D4C4FA8" w14:textId="77777777" w:rsidTr="009C2B66">
        <w:tc>
          <w:tcPr>
            <w:tcW w:w="9289" w:type="dxa"/>
          </w:tcPr>
          <w:p w14:paraId="1D695771" w14:textId="05D5689E" w:rsidR="006E1BC1" w:rsidRPr="00920901" w:rsidRDefault="0049179D" w:rsidP="0081450B">
            <w:r>
              <w:t>A Régiók Bizottsága megerősíti, hogy támogatni kell az önkéntes munkát, a szakmai gyakorlatot, a tanulószerződéses gyakorlati képzést és a fizetett foglalkoztatási tevékenységeket az Európai Szolidaritási Testületen belüli projektek valamennyi szereplőjére vonatkozóan, felmérve annak lehetőségét is, hogy a tagállamok jutalmazási céllal kezdeményezzenek adócsökkentéseket/adókedvezményeket.</w:t>
            </w:r>
          </w:p>
        </w:tc>
      </w:tr>
    </w:tbl>
    <w:p w14:paraId="2398D66C" w14:textId="77777777" w:rsidR="0048076C" w:rsidRPr="00920901" w:rsidRDefault="0048076C" w:rsidP="001A671F">
      <w:pPr>
        <w:ind w:left="-567"/>
        <w:rPr>
          <w:highlight w:val="yellow"/>
        </w:rPr>
      </w:pPr>
    </w:p>
    <w:p w14:paraId="3966A069" w14:textId="77777777" w:rsidR="006F4590" w:rsidRPr="00920901" w:rsidRDefault="006F4590" w:rsidP="009B2F5B">
      <w:pPr>
        <w:keepNext/>
        <w:jc w:val="center"/>
        <w:rPr>
          <w:b/>
          <w:bCs/>
        </w:rPr>
      </w:pPr>
      <w:r>
        <w:rPr>
          <w:b/>
        </w:rPr>
        <w:t>10. módosítás</w:t>
      </w:r>
    </w:p>
    <w:p w14:paraId="68BF7235" w14:textId="033201FB" w:rsidR="006F4590" w:rsidRPr="00920901" w:rsidRDefault="006F4590" w:rsidP="009B2F5B">
      <w:pPr>
        <w:keepNext/>
        <w:jc w:val="center"/>
      </w:pPr>
      <w:r>
        <w:t xml:space="preserve">(18) preambulumbekezdés </w:t>
      </w:r>
    </w:p>
    <w:p w14:paraId="138D4E59" w14:textId="77777777" w:rsidR="006F4590" w:rsidRPr="00920901" w:rsidRDefault="006F4590" w:rsidP="009B2F5B">
      <w:pPr>
        <w:keepNext/>
        <w:jc w:val="cente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6F4590" w:rsidRPr="00920901" w14:paraId="43A79967" w14:textId="77777777" w:rsidTr="000B0449">
        <w:tc>
          <w:tcPr>
            <w:tcW w:w="4643" w:type="dxa"/>
          </w:tcPr>
          <w:p w14:paraId="2F035FCF" w14:textId="77777777" w:rsidR="006F4590" w:rsidRPr="00920901" w:rsidRDefault="006F4590" w:rsidP="009B2F5B">
            <w:pPr>
              <w:keepNext/>
              <w:jc w:val="center"/>
              <w:rPr>
                <w:b/>
                <w:bCs/>
                <w:i/>
                <w:iCs/>
              </w:rPr>
            </w:pPr>
            <w:r>
              <w:rPr>
                <w:b/>
                <w:i/>
              </w:rPr>
              <w:t>Az Európai Bizottság által javasolt szöveg</w:t>
            </w:r>
          </w:p>
        </w:tc>
        <w:tc>
          <w:tcPr>
            <w:tcW w:w="4646" w:type="dxa"/>
          </w:tcPr>
          <w:p w14:paraId="2F7F59DF" w14:textId="77777777" w:rsidR="006F4590" w:rsidRPr="00920901" w:rsidRDefault="006F4590" w:rsidP="009B2F5B">
            <w:pPr>
              <w:keepNext/>
              <w:jc w:val="center"/>
              <w:rPr>
                <w:b/>
                <w:bCs/>
                <w:i/>
                <w:iCs/>
              </w:rPr>
            </w:pPr>
            <w:r>
              <w:rPr>
                <w:b/>
                <w:i/>
              </w:rPr>
              <w:t>Az RB módosítása</w:t>
            </w:r>
          </w:p>
        </w:tc>
      </w:tr>
      <w:tr w:rsidR="006F4590" w:rsidRPr="00920901" w14:paraId="0B89ABA5" w14:textId="77777777" w:rsidTr="000B0449">
        <w:tc>
          <w:tcPr>
            <w:tcW w:w="4643" w:type="dxa"/>
          </w:tcPr>
          <w:p w14:paraId="0FB4D2A5" w14:textId="48473440" w:rsidR="006F4590" w:rsidRPr="00920901" w:rsidRDefault="006405B8" w:rsidP="0081450B">
            <w:r>
              <w:t>Az Európai Szolidaritási Testületben részt venni kívánó minden jogalanynak minőségi védjegyet kell kiadni, amennyiben teljesíti a megfelelő feltételeket. A minőségi védjegy kiadását biztosító eljárást az Európai Szolidaritási Testület végrehajtó szervezeteinek kell folyamatos jelleggel működtetniük. A kiadott minőségi védjegyet rendszeresen újra kell értékelni, de vissza is lehet vonni, ha az elvégzendő ellenőrzések során megállapítást nyer, hogy a kiadáshoz vezető feltételek már nem teljesülnek.</w:t>
            </w:r>
          </w:p>
        </w:tc>
        <w:tc>
          <w:tcPr>
            <w:tcW w:w="4646" w:type="dxa"/>
          </w:tcPr>
          <w:p w14:paraId="2701CFB2" w14:textId="7000B58B" w:rsidR="006F4590" w:rsidRPr="00920901" w:rsidRDefault="006405B8">
            <w:pPr>
              <w:rPr>
                <w:b/>
              </w:rPr>
            </w:pPr>
            <w:r>
              <w:t>Az Európai Szolidaritási Testületben részt venni kívánó minden jogalanynak minőségi védjegyet kell kiadni, amennyiben teljesíti a megfelelő feltételeket</w:t>
            </w:r>
            <w:r>
              <w:rPr>
                <w:b/>
                <w:i/>
              </w:rPr>
              <w:t>, többek között a következőket: a helyi és regionális igények figyelembevételének mértéke, az integrált megközelítés, valamint aktív és gyümölcsöző együttműködés minden olyan helyi és regionális hatósággal és/vagy más egyesülettel vagy szervezettel, amely a szolidaritási ágazatban tevékenykedik</w:t>
            </w:r>
            <w:r>
              <w:t>. A minőségi védjegy kiadását biztosító eljárást az Európai Szolidaritási Testület végrehajtó szervezeteinek kell folyamatos jelleggel működtetniük</w:t>
            </w:r>
            <w:r>
              <w:rPr>
                <w:b/>
                <w:i/>
              </w:rPr>
              <w:t>, szoros együttműködésben a nemzeti irodákkal, és figyelembe véve a szolidaritással kapcsolatos legfontosabb fejlesztési területeket a tagállamokban</w:t>
            </w:r>
            <w:r>
              <w:t>. A kiadott minőségi védjegyet rendszeresen újra kell értékelni, de vissza is lehet vonni, ha az elvégzendő ellenőrzések során megállapítást nyer, hogy a kiadáshoz vezető feltételek már nem teljesülnek.</w:t>
            </w:r>
          </w:p>
        </w:tc>
      </w:tr>
    </w:tbl>
    <w:p w14:paraId="3B8A9376" w14:textId="77777777" w:rsidR="006F4590" w:rsidRPr="00920901" w:rsidRDefault="006F4590" w:rsidP="0081450B">
      <w:pPr>
        <w:rPr>
          <w:highlight w:val="yell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6F4590" w:rsidRPr="00920901" w14:paraId="37F7AD9C" w14:textId="77777777" w:rsidTr="000B0449">
        <w:tc>
          <w:tcPr>
            <w:tcW w:w="9289" w:type="dxa"/>
          </w:tcPr>
          <w:p w14:paraId="4E47EA63" w14:textId="77777777" w:rsidR="006F4590" w:rsidRPr="00920901" w:rsidRDefault="006F4590" w:rsidP="009B2F5B">
            <w:pPr>
              <w:keepNext/>
              <w:jc w:val="center"/>
              <w:rPr>
                <w:bCs/>
                <w:i/>
                <w:iCs/>
              </w:rPr>
            </w:pPr>
            <w:r>
              <w:rPr>
                <w:b/>
                <w:i/>
              </w:rPr>
              <w:t>Indokolás</w:t>
            </w:r>
          </w:p>
        </w:tc>
      </w:tr>
      <w:tr w:rsidR="006F4590" w:rsidRPr="00920901" w14:paraId="34DF13BD" w14:textId="77777777" w:rsidTr="000B0449">
        <w:tc>
          <w:tcPr>
            <w:tcW w:w="9289" w:type="dxa"/>
          </w:tcPr>
          <w:p w14:paraId="33CC04C0" w14:textId="7D476D3F" w:rsidR="006F4590" w:rsidRPr="00920901" w:rsidRDefault="00806923" w:rsidP="007D4838">
            <w:r>
              <w:t>A Régiók Bizottsága hangsúlyozza a szolidaritási ágazatban tevékenykedő nemzeti irodák, már meglévő szervezetek vagy helyi és regionális intézmények, mint például az innovatív önkéntes kezdeményezéseket támogató számtalan sportegyesület, teljes körű bevonásának fontosságát, integrált megközelítést támogatva és együttműködve a kormányzat minden szintjén azokkal, akik részt kívánnak venni az Európai Szolidaritási Testületben.</w:t>
            </w:r>
          </w:p>
        </w:tc>
      </w:tr>
    </w:tbl>
    <w:p w14:paraId="6D051944" w14:textId="77777777" w:rsidR="006F4590" w:rsidRPr="00920901" w:rsidRDefault="006F4590" w:rsidP="007D4838">
      <w:pPr>
        <w:jc w:val="center"/>
        <w:rPr>
          <w:b/>
          <w:highlight w:val="yellow"/>
        </w:rPr>
      </w:pPr>
    </w:p>
    <w:p w14:paraId="77A73D36" w14:textId="77777777" w:rsidR="00D56D81" w:rsidRPr="00920901" w:rsidRDefault="00D56D81" w:rsidP="009B2F5B">
      <w:pPr>
        <w:keepNext/>
        <w:jc w:val="center"/>
        <w:rPr>
          <w:b/>
          <w:bCs/>
        </w:rPr>
      </w:pPr>
      <w:r>
        <w:rPr>
          <w:b/>
        </w:rPr>
        <w:t>11. módosítás</w:t>
      </w:r>
    </w:p>
    <w:p w14:paraId="7EF99CA8" w14:textId="211BF4C2" w:rsidR="00D56D81" w:rsidRPr="00920901" w:rsidRDefault="00D56D81" w:rsidP="009B2F5B">
      <w:pPr>
        <w:keepNext/>
        <w:jc w:val="center"/>
      </w:pPr>
      <w:r>
        <w:t xml:space="preserve">(22) preambulumbekezdés </w:t>
      </w:r>
    </w:p>
    <w:p w14:paraId="48FBCB5F" w14:textId="77777777" w:rsidR="00D56D81" w:rsidRPr="00920901" w:rsidRDefault="00D56D81" w:rsidP="009B2F5B">
      <w:pPr>
        <w:keepN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D56D81" w:rsidRPr="00920901" w14:paraId="5BAA3831" w14:textId="77777777" w:rsidTr="00E94FFE">
        <w:tc>
          <w:tcPr>
            <w:tcW w:w="4643" w:type="dxa"/>
          </w:tcPr>
          <w:p w14:paraId="7EB5DC8A" w14:textId="77777777" w:rsidR="00D56D81" w:rsidRPr="00920901" w:rsidRDefault="00D56D81" w:rsidP="009B2F5B">
            <w:pPr>
              <w:keepNext/>
              <w:jc w:val="center"/>
              <w:rPr>
                <w:b/>
                <w:bCs/>
                <w:i/>
                <w:iCs/>
              </w:rPr>
            </w:pPr>
            <w:r>
              <w:rPr>
                <w:b/>
                <w:i/>
              </w:rPr>
              <w:t>Az Európai Bizottság által javasolt szöveg</w:t>
            </w:r>
          </w:p>
        </w:tc>
        <w:tc>
          <w:tcPr>
            <w:tcW w:w="4646" w:type="dxa"/>
          </w:tcPr>
          <w:p w14:paraId="21DAA2F4" w14:textId="77777777" w:rsidR="00D56D81" w:rsidRPr="00920901" w:rsidRDefault="00D56D81" w:rsidP="009B2F5B">
            <w:pPr>
              <w:keepNext/>
              <w:jc w:val="center"/>
              <w:rPr>
                <w:b/>
                <w:bCs/>
                <w:i/>
                <w:iCs/>
              </w:rPr>
            </w:pPr>
            <w:r>
              <w:rPr>
                <w:b/>
                <w:i/>
              </w:rPr>
              <w:t>Az RB módosítása</w:t>
            </w:r>
          </w:p>
        </w:tc>
      </w:tr>
      <w:tr w:rsidR="00D56D81" w:rsidRPr="00920901" w14:paraId="3E7E48C0" w14:textId="77777777" w:rsidTr="00E94FFE">
        <w:tc>
          <w:tcPr>
            <w:tcW w:w="4643" w:type="dxa"/>
          </w:tcPr>
          <w:p w14:paraId="2C3A8991" w14:textId="213CCC87" w:rsidR="00D56D81" w:rsidRPr="00920901" w:rsidRDefault="00D56D81" w:rsidP="0081450B">
            <w:r>
              <w:t xml:space="preserve">Az Európai Szolidaritási Testület Erőforrásközpontjainak támogatniuk kell az Európai Szolidaritási Testületben részt vevő végrehajtó szerveket, szervezeteket és fiatalokat az Európai Szolidaritási Testület tevékenységeinek magasabb színvonalú végrehajtása, valamint az ilyen tevékenységekben megszerzett készségek beazonosításának és érvényesítésének </w:t>
            </w:r>
            <w:r>
              <w:rPr>
                <w:b/>
                <w:i/>
              </w:rPr>
              <w:t>többek között a Youthpass</w:t>
            </w:r>
            <w:r>
              <w:t xml:space="preserve"> tanúsítványok kiállításával történő javítása érdekében.</w:t>
            </w:r>
          </w:p>
        </w:tc>
        <w:tc>
          <w:tcPr>
            <w:tcW w:w="4646" w:type="dxa"/>
          </w:tcPr>
          <w:p w14:paraId="5CBC4A61" w14:textId="1212FA32" w:rsidR="00D56D81" w:rsidRPr="00920901" w:rsidRDefault="00D56D81" w:rsidP="0081450B">
            <w:pPr>
              <w:rPr>
                <w:b/>
              </w:rPr>
            </w:pPr>
            <w:r>
              <w:t>Az Európai Szolidaritási Testület Erőforrásközpontjainak támogatniuk kell az Európai Szolidaritási Testületben részt vevő végrehajtó szerveket, szervezeteket és fiatalokat az Európai Szolidaritási Testület tevékenységeinek magasabb színvonalú végrehajtása, valamint az ilyen tevékenységekben megszerzett készségek beazonosításának és érvényesítésének tanúsítványok kiállításával történő javítása érdekében</w:t>
            </w:r>
            <w:r>
              <w:rPr>
                <w:b/>
                <w:i/>
              </w:rPr>
              <w:t>. Lehet itt szó az Európai Szolidaritási Testület elvégzett tevékenységeket igazoló exkluzív tanúsítványáról, de olyan eszközökről is, mint a Youthpass és a Europass, illetve szakképzésekre vonatkozó rendelkezésekről, melyek azonosítják és meghatározzák a megszerzett ismereteket és készségeket</w:t>
            </w:r>
            <w:r>
              <w:t>.</w:t>
            </w:r>
          </w:p>
        </w:tc>
      </w:tr>
    </w:tbl>
    <w:p w14:paraId="0DB9BB9B" w14:textId="77777777" w:rsidR="00D56D81" w:rsidRPr="00920901" w:rsidRDefault="00D56D81" w:rsidP="0081450B">
      <w:pPr>
        <w:rPr>
          <w:highlight w:val="yell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D56D81" w:rsidRPr="00920901" w14:paraId="35B38EED" w14:textId="77777777" w:rsidTr="00E94FFE">
        <w:tc>
          <w:tcPr>
            <w:tcW w:w="9289" w:type="dxa"/>
          </w:tcPr>
          <w:p w14:paraId="295ED239" w14:textId="77777777" w:rsidR="00D56D81" w:rsidRPr="00920901" w:rsidRDefault="00D56D81" w:rsidP="009B2F5B">
            <w:pPr>
              <w:keepNext/>
              <w:jc w:val="center"/>
              <w:rPr>
                <w:bCs/>
                <w:i/>
                <w:iCs/>
              </w:rPr>
            </w:pPr>
            <w:r>
              <w:rPr>
                <w:b/>
                <w:i/>
              </w:rPr>
              <w:t>Indokolás</w:t>
            </w:r>
          </w:p>
        </w:tc>
      </w:tr>
      <w:tr w:rsidR="00D56D81" w:rsidRPr="00920901" w14:paraId="562766EF" w14:textId="77777777" w:rsidTr="00E94FFE">
        <w:tc>
          <w:tcPr>
            <w:tcW w:w="9289" w:type="dxa"/>
          </w:tcPr>
          <w:p w14:paraId="447EF91B" w14:textId="63A71FE0" w:rsidR="00D56D81" w:rsidRPr="00920901" w:rsidRDefault="00D56D81" w:rsidP="0081450B">
            <w:r>
              <w:t>A Régiók Bizottsága elismeri, mennyire fontos, hogy megkönnyítsük a későbbi álláskeresést a fiatal önkéntesek számára, ezért a tevékenység elvégzése után ki kell állítani számukra az Európai Szolidaritási Testület exkluzív tanúsítványát, amely ismerteti a megszerzett készségeket, kiegészítve egyedi értékelési paraméterekkel, és amelyet nemzeti és nemzetközi szinten fel lehet használni az adott szakterületen.</w:t>
            </w:r>
          </w:p>
        </w:tc>
      </w:tr>
    </w:tbl>
    <w:p w14:paraId="40A4CEC4" w14:textId="77777777" w:rsidR="00D56D81" w:rsidRPr="00920901" w:rsidRDefault="00D56D81" w:rsidP="0081450B">
      <w:pPr>
        <w:jc w:val="center"/>
        <w:rPr>
          <w:b/>
          <w:highlight w:val="yellow"/>
        </w:rPr>
      </w:pPr>
    </w:p>
    <w:p w14:paraId="0D9D1D48" w14:textId="77777777" w:rsidR="007609AD" w:rsidRPr="00920901" w:rsidRDefault="007609AD" w:rsidP="00AF6796">
      <w:pPr>
        <w:keepNext/>
        <w:keepLines/>
        <w:jc w:val="center"/>
        <w:rPr>
          <w:b/>
          <w:bCs/>
        </w:rPr>
      </w:pPr>
      <w:r>
        <w:rPr>
          <w:b/>
        </w:rPr>
        <w:t>12. módosítás</w:t>
      </w:r>
    </w:p>
    <w:p w14:paraId="5F791218" w14:textId="48898AB2" w:rsidR="007609AD" w:rsidRPr="00920901" w:rsidRDefault="007609AD" w:rsidP="00AF6796">
      <w:pPr>
        <w:keepNext/>
        <w:keepLines/>
        <w:jc w:val="center"/>
      </w:pPr>
    </w:p>
    <w:p w14:paraId="42B812BD" w14:textId="4C30A3AC" w:rsidR="007609AD" w:rsidRPr="00920901" w:rsidRDefault="007609AD" w:rsidP="00AF6796">
      <w:pPr>
        <w:keepNext/>
        <w:keepLines/>
        <w:jc w:val="center"/>
      </w:pPr>
      <w:r>
        <w:t xml:space="preserve">(27) preambulumbekezdés </w:t>
      </w:r>
    </w:p>
    <w:p w14:paraId="2AB3A558" w14:textId="77777777" w:rsidR="007609AD" w:rsidRPr="00920901" w:rsidRDefault="007609AD" w:rsidP="00AF6796">
      <w:pPr>
        <w:keepNext/>
        <w:keepLines/>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609AD" w:rsidRPr="00920901" w14:paraId="0A800DAC" w14:textId="77777777" w:rsidTr="00E94FFE">
        <w:tc>
          <w:tcPr>
            <w:tcW w:w="4643" w:type="dxa"/>
          </w:tcPr>
          <w:p w14:paraId="48DADBCA" w14:textId="77777777" w:rsidR="007609AD" w:rsidRPr="00920901" w:rsidRDefault="007609AD" w:rsidP="00AF6796">
            <w:pPr>
              <w:keepNext/>
              <w:keepLines/>
              <w:jc w:val="center"/>
              <w:rPr>
                <w:b/>
                <w:bCs/>
                <w:i/>
                <w:iCs/>
              </w:rPr>
            </w:pPr>
            <w:r>
              <w:rPr>
                <w:b/>
                <w:i/>
              </w:rPr>
              <w:t>Az Európai Bizottság által javasolt szöveg</w:t>
            </w:r>
          </w:p>
        </w:tc>
        <w:tc>
          <w:tcPr>
            <w:tcW w:w="4646" w:type="dxa"/>
          </w:tcPr>
          <w:p w14:paraId="0F2E9E6A" w14:textId="77777777" w:rsidR="007609AD" w:rsidRPr="00920901" w:rsidRDefault="007609AD" w:rsidP="00AF6796">
            <w:pPr>
              <w:keepNext/>
              <w:keepLines/>
              <w:jc w:val="center"/>
              <w:rPr>
                <w:b/>
                <w:bCs/>
                <w:i/>
                <w:iCs/>
              </w:rPr>
            </w:pPr>
            <w:r>
              <w:rPr>
                <w:b/>
                <w:i/>
              </w:rPr>
              <w:t>Az RB módosítása</w:t>
            </w:r>
          </w:p>
        </w:tc>
      </w:tr>
      <w:tr w:rsidR="007609AD" w:rsidRPr="00920901" w14:paraId="1297F774" w14:textId="77777777" w:rsidTr="00E94FFE">
        <w:tc>
          <w:tcPr>
            <w:tcW w:w="4643" w:type="dxa"/>
          </w:tcPr>
          <w:p w14:paraId="6D9925B2" w14:textId="77777777" w:rsidR="007609AD" w:rsidRPr="00920901" w:rsidRDefault="007609AD" w:rsidP="007D4838">
            <w:r>
              <w:t>Az Európai Szolidaritási Testület tevékenységei 18 és 30 év közötti fiataloknak szólnak, akiknek a részvétel előtt regisztrálniuk kell az Európai Szolidaritási Testület portálján.</w:t>
            </w:r>
          </w:p>
        </w:tc>
        <w:tc>
          <w:tcPr>
            <w:tcW w:w="4646" w:type="dxa"/>
          </w:tcPr>
          <w:p w14:paraId="27480FEE" w14:textId="2B291611" w:rsidR="007609AD" w:rsidRPr="00920901" w:rsidRDefault="007609AD" w:rsidP="007D4838">
            <w:pPr>
              <w:rPr>
                <w:b/>
              </w:rPr>
            </w:pPr>
            <w:r>
              <w:t>Az Európai Szolidaritási Testület tevékenységei 18 és 30 év közötti fiataloknak szólnak</w:t>
            </w:r>
            <w:r>
              <w:rPr>
                <w:b/>
                <w:i/>
              </w:rPr>
              <w:t>, függetlenül például társadalmi, gazdasági vagy oktatási hátterüktől</w:t>
            </w:r>
            <w:r>
              <w:t>, akiknek a részvétel előtt regisztrálniuk kell az Európai Szolidaritási Testület portálján</w:t>
            </w:r>
            <w:r>
              <w:rPr>
                <w:b/>
                <w:i/>
              </w:rPr>
              <w:t>. Ezen a portálon keresztül lehetőség van egy többnyelvű online tanfolyam elvégzésére is a kiválasztott szolidaritási tevékenységgel kapcsolatban, amelynek célja egyúttal annak a területnek az azonosítása, amelyen a legjobban hasznosíthatók a résztvevők szolidaritási törekvései, és amelyen leginkább növelhető jövőbeli foglalkoztathatóságuk.</w:t>
            </w:r>
          </w:p>
        </w:tc>
      </w:tr>
    </w:tbl>
    <w:p w14:paraId="6AFCD662" w14:textId="77777777" w:rsidR="007609AD" w:rsidRPr="00920901" w:rsidRDefault="007609AD" w:rsidP="007D4838">
      <w:pPr>
        <w:rPr>
          <w:highlight w:val="yell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609AD" w:rsidRPr="00920901" w14:paraId="6368D895" w14:textId="77777777" w:rsidTr="00E94FFE">
        <w:tc>
          <w:tcPr>
            <w:tcW w:w="9289" w:type="dxa"/>
          </w:tcPr>
          <w:p w14:paraId="00B9651E" w14:textId="77777777" w:rsidR="007609AD" w:rsidRPr="00920901" w:rsidRDefault="007609AD" w:rsidP="009B2F5B">
            <w:pPr>
              <w:keepNext/>
              <w:jc w:val="center"/>
              <w:rPr>
                <w:bCs/>
                <w:i/>
                <w:iCs/>
              </w:rPr>
            </w:pPr>
            <w:r>
              <w:rPr>
                <w:b/>
                <w:i/>
              </w:rPr>
              <w:t>Indokolás</w:t>
            </w:r>
          </w:p>
        </w:tc>
      </w:tr>
      <w:tr w:rsidR="007609AD" w:rsidRPr="00920901" w14:paraId="50116E75" w14:textId="77777777" w:rsidTr="00E94FFE">
        <w:tc>
          <w:tcPr>
            <w:tcW w:w="9289" w:type="dxa"/>
          </w:tcPr>
          <w:p w14:paraId="4849BE2C" w14:textId="77777777" w:rsidR="007609AD" w:rsidRPr="00920901" w:rsidRDefault="007609AD" w:rsidP="007D4838">
            <w:r>
              <w:t>A Régiók Bizottsága egy többnyelvű portál létrehozását javasolja, ahol lehetőség van konkrét információk és képzési anyagok letöltésére a javasolt szolidaritási tapasztalat különböző kategóriáira vonatkozóan, amelyek kapcsolódnak az érdeklődő fiatalok választásához, jövőbeli foglalkoztathatóságuk növelése érdekében.</w:t>
            </w:r>
          </w:p>
        </w:tc>
      </w:tr>
    </w:tbl>
    <w:p w14:paraId="47C75B7D" w14:textId="77777777" w:rsidR="00D56D81" w:rsidRPr="00920901" w:rsidRDefault="00D56D81" w:rsidP="0081450B">
      <w:pPr>
        <w:jc w:val="center"/>
        <w:rPr>
          <w:b/>
          <w:highlight w:val="yellow"/>
        </w:rPr>
      </w:pPr>
    </w:p>
    <w:p w14:paraId="2D42424D" w14:textId="4F8BC23A" w:rsidR="00580BDC" w:rsidRPr="00920901" w:rsidRDefault="00254236" w:rsidP="009B2F5B">
      <w:pPr>
        <w:keepNext/>
        <w:jc w:val="center"/>
        <w:rPr>
          <w:b/>
        </w:rPr>
      </w:pPr>
      <w:r>
        <w:rPr>
          <w:b/>
        </w:rPr>
        <w:t>13. módosítás</w:t>
      </w:r>
    </w:p>
    <w:p w14:paraId="42CA6E20" w14:textId="0B349F28" w:rsidR="00580BDC" w:rsidRPr="00920901" w:rsidRDefault="00580BDC" w:rsidP="009B2F5B">
      <w:pPr>
        <w:keepNext/>
        <w:jc w:val="center"/>
      </w:pPr>
      <w:r>
        <w:t xml:space="preserve">III. fejezet 7. cikk </w:t>
      </w:r>
    </w:p>
    <w:p w14:paraId="6AEF89DB" w14:textId="77777777" w:rsidR="00580BDC" w:rsidRPr="00920901" w:rsidRDefault="00580BDC" w:rsidP="009B2F5B">
      <w:pPr>
        <w:keepN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580BDC" w:rsidRPr="00920901" w14:paraId="4E5A7D26" w14:textId="77777777" w:rsidTr="00D15720">
        <w:tc>
          <w:tcPr>
            <w:tcW w:w="4643" w:type="dxa"/>
          </w:tcPr>
          <w:p w14:paraId="0288744C" w14:textId="77777777" w:rsidR="00580BDC" w:rsidRPr="00920901" w:rsidRDefault="00580BDC" w:rsidP="009B2F5B">
            <w:pPr>
              <w:keepNext/>
              <w:jc w:val="center"/>
              <w:rPr>
                <w:b/>
                <w:bCs/>
                <w:i/>
                <w:iCs/>
              </w:rPr>
            </w:pPr>
            <w:r>
              <w:rPr>
                <w:b/>
                <w:i/>
              </w:rPr>
              <w:t>Az Európai Bizottság által javasolt szöveg</w:t>
            </w:r>
          </w:p>
        </w:tc>
        <w:tc>
          <w:tcPr>
            <w:tcW w:w="4646" w:type="dxa"/>
          </w:tcPr>
          <w:p w14:paraId="47E24414" w14:textId="77777777" w:rsidR="00580BDC" w:rsidRPr="00920901" w:rsidRDefault="00580BDC" w:rsidP="009B2F5B">
            <w:pPr>
              <w:keepNext/>
              <w:jc w:val="center"/>
              <w:rPr>
                <w:b/>
                <w:i/>
              </w:rPr>
            </w:pPr>
            <w:r>
              <w:rPr>
                <w:b/>
                <w:i/>
              </w:rPr>
              <w:t>Az RB módosítása</w:t>
            </w:r>
          </w:p>
        </w:tc>
      </w:tr>
      <w:tr w:rsidR="00580BDC" w:rsidRPr="00920901" w14:paraId="2D625660" w14:textId="77777777" w:rsidTr="00D15720">
        <w:tc>
          <w:tcPr>
            <w:tcW w:w="4643" w:type="dxa"/>
          </w:tcPr>
          <w:p w14:paraId="007FE909" w14:textId="77397374" w:rsidR="00580BDC" w:rsidRPr="00920901" w:rsidRDefault="00F57252" w:rsidP="0081450B">
            <w:r>
              <w:t>A 4. cikk (1) bekezdésének a) pontjában említett önkéntes munkának egy tanulmányi és képzési elemet is kell tartalmaznia, nem helyettesíthet szakmai gyakorlatot vagy állást, nem tekinthető egyenértékűnek munkaviszonnyal, és írásbeli megállapodáson kell alapulnia.</w:t>
            </w:r>
          </w:p>
        </w:tc>
        <w:tc>
          <w:tcPr>
            <w:tcW w:w="4646" w:type="dxa"/>
          </w:tcPr>
          <w:p w14:paraId="461BA3A9" w14:textId="28D98ED5" w:rsidR="00580BDC" w:rsidRPr="00920901" w:rsidRDefault="00F57252" w:rsidP="0081450B">
            <w:r>
              <w:t>A 4. cikk (1) bekezdésének a) pontjában említett önkéntes munkának egy tanulmányi és képzési elemet is kell tartalmaznia, nem helyettesíthet szakmai gyakorlatot vagy állást, nem tekinthető egyenértékűnek munkaviszonnyal, és írásbeli megállapodáson</w:t>
            </w:r>
            <w:r>
              <w:rPr>
                <w:b/>
                <w:i/>
              </w:rPr>
              <w:t>, tanulószerződéses gyakorlati képzésen vagy bármely egyéb olyan konstrukción</w:t>
            </w:r>
            <w:r>
              <w:t xml:space="preserve"> kell alapulnia</w:t>
            </w:r>
            <w:r>
              <w:rPr>
                <w:b/>
                <w:i/>
              </w:rPr>
              <w:t>, amely teljes mértékben leírja a tervezett tevékenységet</w:t>
            </w:r>
            <w:r>
              <w:t>.</w:t>
            </w:r>
          </w:p>
        </w:tc>
      </w:tr>
    </w:tbl>
    <w:p w14:paraId="309866DC" w14:textId="77777777" w:rsidR="00580BDC" w:rsidRPr="00920901" w:rsidRDefault="00580BDC" w:rsidP="0081450B">
      <w:pPr>
        <w:rPr>
          <w:highlight w:val="yell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580BDC" w:rsidRPr="00920901" w14:paraId="0ACB6489" w14:textId="77777777" w:rsidTr="00D15720">
        <w:tc>
          <w:tcPr>
            <w:tcW w:w="9289" w:type="dxa"/>
          </w:tcPr>
          <w:p w14:paraId="61AED26C" w14:textId="77777777" w:rsidR="00580BDC" w:rsidRPr="00920901" w:rsidRDefault="00580BDC" w:rsidP="009B2F5B">
            <w:pPr>
              <w:keepNext/>
              <w:jc w:val="center"/>
              <w:rPr>
                <w:b/>
                <w:i/>
              </w:rPr>
            </w:pPr>
            <w:r>
              <w:rPr>
                <w:b/>
                <w:i/>
              </w:rPr>
              <w:t>Indokolás</w:t>
            </w:r>
          </w:p>
        </w:tc>
      </w:tr>
      <w:tr w:rsidR="00580BDC" w:rsidRPr="00920901" w14:paraId="24112E51" w14:textId="77777777" w:rsidTr="00D15720">
        <w:tc>
          <w:tcPr>
            <w:tcW w:w="9289" w:type="dxa"/>
          </w:tcPr>
          <w:p w14:paraId="37DC9371" w14:textId="2E7A6201" w:rsidR="00580BDC" w:rsidRPr="00920901" w:rsidRDefault="005B1B40" w:rsidP="0081450B">
            <w:r>
              <w:t>Az Európai Bizottság szövegében az önkéntes tevékenység minden típusát el kell ismerni, függetlenül attól, hogy állami vagy magánintézményről, profitorientált vagy nonprofit szervezetről van-e szó, tökéletes összhangban az önkéntes tevékenységeket jellemző szolidáris szellemiséggel. Alapvető fontosságú olyan felügyeleti eszközök megalkotása, melyekkel megelőzhető a bizonytalan foglalkoztatás, a feketemunka és az önkéntesség használata a résztvevők javadalmazásának elkerülése végett. Ehhez megfelelően értékelni kell a leginnovatívabb és legeredetibb hozzájárulásokat, és jutalmazni a legdinamikusabb és legaktívabb szereplőket.</w:t>
            </w:r>
          </w:p>
        </w:tc>
      </w:tr>
    </w:tbl>
    <w:p w14:paraId="422AB237" w14:textId="77777777" w:rsidR="00580BDC" w:rsidRPr="00920901" w:rsidRDefault="00580BDC" w:rsidP="0081450B">
      <w:pPr>
        <w:rPr>
          <w:highlight w:val="yellow"/>
        </w:rPr>
      </w:pPr>
    </w:p>
    <w:p w14:paraId="7B03CB2F" w14:textId="06AAA25A" w:rsidR="00F807EF" w:rsidRPr="00920901" w:rsidRDefault="006200E9" w:rsidP="009B2F5B">
      <w:pPr>
        <w:keepNext/>
        <w:jc w:val="center"/>
        <w:rPr>
          <w:b/>
          <w:bCs/>
        </w:rPr>
      </w:pPr>
      <w:r>
        <w:rPr>
          <w:b/>
        </w:rPr>
        <w:t>14. módosítás</w:t>
      </w:r>
    </w:p>
    <w:p w14:paraId="3FEF792A" w14:textId="7D84B012" w:rsidR="00F807EF" w:rsidRPr="00920901" w:rsidRDefault="001D49D4" w:rsidP="009B2F5B">
      <w:pPr>
        <w:keepNext/>
        <w:jc w:val="center"/>
      </w:pPr>
      <w:r>
        <w:t>VI. fejezet 16. cikk (2) bekezdés</w:t>
      </w:r>
    </w:p>
    <w:p w14:paraId="61081DEB" w14:textId="77777777" w:rsidR="00F807EF" w:rsidRPr="00920901" w:rsidRDefault="00F807EF" w:rsidP="009B2F5B">
      <w:pPr>
        <w:keepN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F807EF" w:rsidRPr="00920901" w14:paraId="6688406D" w14:textId="77777777" w:rsidTr="00FB3CDF">
        <w:tc>
          <w:tcPr>
            <w:tcW w:w="4643" w:type="dxa"/>
          </w:tcPr>
          <w:p w14:paraId="0F709C29" w14:textId="77777777" w:rsidR="00F807EF" w:rsidRPr="00920901" w:rsidRDefault="00F807EF" w:rsidP="009B2F5B">
            <w:pPr>
              <w:keepNext/>
              <w:jc w:val="center"/>
              <w:rPr>
                <w:b/>
                <w:bCs/>
                <w:i/>
                <w:iCs/>
              </w:rPr>
            </w:pPr>
            <w:r>
              <w:rPr>
                <w:b/>
                <w:i/>
              </w:rPr>
              <w:t>Az Európai Bizottság által javasolt szöveg</w:t>
            </w:r>
          </w:p>
        </w:tc>
        <w:tc>
          <w:tcPr>
            <w:tcW w:w="4646" w:type="dxa"/>
          </w:tcPr>
          <w:p w14:paraId="6E2397ED" w14:textId="77777777" w:rsidR="00F807EF" w:rsidRPr="00920901" w:rsidRDefault="00F807EF" w:rsidP="009B2F5B">
            <w:pPr>
              <w:keepNext/>
              <w:jc w:val="center"/>
              <w:rPr>
                <w:b/>
                <w:bCs/>
                <w:i/>
                <w:iCs/>
              </w:rPr>
            </w:pPr>
            <w:r>
              <w:rPr>
                <w:b/>
                <w:i/>
              </w:rPr>
              <w:t>Az RB módosítása</w:t>
            </w:r>
          </w:p>
        </w:tc>
      </w:tr>
      <w:tr w:rsidR="00F807EF" w:rsidRPr="00920901" w14:paraId="29379675" w14:textId="77777777" w:rsidTr="00FB3CDF">
        <w:tc>
          <w:tcPr>
            <w:tcW w:w="4643" w:type="dxa"/>
          </w:tcPr>
          <w:p w14:paraId="141C9401" w14:textId="77777777" w:rsidR="00F807EF" w:rsidRPr="00920901" w:rsidRDefault="00F807EF" w:rsidP="0081450B"/>
        </w:tc>
        <w:tc>
          <w:tcPr>
            <w:tcW w:w="4646" w:type="dxa"/>
          </w:tcPr>
          <w:p w14:paraId="2766AE40" w14:textId="664191A6" w:rsidR="00F807EF" w:rsidRPr="00920901" w:rsidRDefault="001D49D4">
            <w:pPr>
              <w:rPr>
                <w:b/>
                <w:i/>
              </w:rPr>
            </w:pPr>
            <w:r>
              <w:rPr>
                <w:b/>
                <w:i/>
              </w:rPr>
              <w:t>Az értékelési kritériumok között szem előtt kell tartani az együttműködés lehetséges integratív formáit az érdekelt felek és az ifjúsági politikák előmozdításában már aktív szervezetek között, amelyek körében a sportot kétségtelenül egyre hangsúlyosabb hely illeti meg és egyre nagyobb érdeklődés övezi. Ebben az értelemben különösen felértékelődik az uniós ifjúságügyi koordinátorral való együttműködés, csakúgy mint az uniós ifjúsági stratégiai platformon belüli lehetséges részvételi formák, az Európai Bizottság (2018) 269 final közleményében javasoltaknak megfelelően.</w:t>
            </w:r>
          </w:p>
        </w:tc>
      </w:tr>
    </w:tbl>
    <w:p w14:paraId="5493CBBD" w14:textId="77777777" w:rsidR="00F807EF" w:rsidRPr="00920901" w:rsidRDefault="00F807EF" w:rsidP="0081450B">
      <w:pPr>
        <w:rPr>
          <w:highlight w:val="yell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F807EF" w:rsidRPr="00920901" w14:paraId="0E94EA0A" w14:textId="77777777" w:rsidTr="00FB3CDF">
        <w:tc>
          <w:tcPr>
            <w:tcW w:w="9289" w:type="dxa"/>
          </w:tcPr>
          <w:p w14:paraId="44FBE535" w14:textId="77777777" w:rsidR="00F807EF" w:rsidRPr="00920901" w:rsidRDefault="00F807EF" w:rsidP="009B2F5B">
            <w:pPr>
              <w:keepNext/>
              <w:jc w:val="center"/>
              <w:rPr>
                <w:bCs/>
                <w:i/>
                <w:iCs/>
              </w:rPr>
            </w:pPr>
            <w:r>
              <w:rPr>
                <w:b/>
                <w:i/>
              </w:rPr>
              <w:t>Indokolás</w:t>
            </w:r>
          </w:p>
        </w:tc>
      </w:tr>
      <w:tr w:rsidR="00F807EF" w:rsidRPr="00920901" w14:paraId="048A8412" w14:textId="77777777" w:rsidTr="00FB3CDF">
        <w:tc>
          <w:tcPr>
            <w:tcW w:w="9289" w:type="dxa"/>
          </w:tcPr>
          <w:p w14:paraId="01E33590" w14:textId="77777777" w:rsidR="00F807EF" w:rsidRPr="00920901" w:rsidRDefault="00F807EF" w:rsidP="0081450B">
            <w:r>
              <w:t xml:space="preserve">A Régiók Bizottsága üdvözli az Európai Bizottságnak az </w:t>
            </w:r>
            <w:r>
              <w:rPr>
                <w:i/>
              </w:rPr>
              <w:t xml:space="preserve">uniós ifjúságügyi koordinátor </w:t>
            </w:r>
            <w:r>
              <w:t xml:space="preserve">és az </w:t>
            </w:r>
            <w:r>
              <w:rPr>
                <w:i/>
              </w:rPr>
              <w:t>uniós ifjúsági stratégiai platform</w:t>
            </w:r>
            <w:r>
              <w:t xml:space="preserve"> létrehozására irányuló javaslatát, reményét fejezve ki egy folyamatos együttműködési hálózat kialakítására, valamint a koordinátor és a Régiók Bizottsága közötti szakmai konferenciák ütemezésére vonatkozóan, amelyek képesek lesznek hatékonyan bevonni valamennyi európai helyi és regionális dimenziót.</w:t>
            </w:r>
          </w:p>
        </w:tc>
      </w:tr>
    </w:tbl>
    <w:p w14:paraId="50F96734" w14:textId="77777777" w:rsidR="00F807EF" w:rsidRPr="00920901" w:rsidRDefault="00F807EF" w:rsidP="001A671F">
      <w:pPr>
        <w:rPr>
          <w:highlight w:val="yellow"/>
        </w:rPr>
      </w:pPr>
    </w:p>
    <w:p w14:paraId="0AF91D5C" w14:textId="5B231901" w:rsidR="009D0276" w:rsidRPr="00920901" w:rsidRDefault="00274C4A" w:rsidP="009B2F5B">
      <w:pPr>
        <w:keepNext/>
        <w:jc w:val="center"/>
        <w:rPr>
          <w:b/>
        </w:rPr>
      </w:pPr>
      <w:r>
        <w:rPr>
          <w:b/>
        </w:rPr>
        <w:t>15. módosítás</w:t>
      </w:r>
    </w:p>
    <w:p w14:paraId="0FC95C9D" w14:textId="157E7AC2" w:rsidR="009D0276" w:rsidRPr="00920901" w:rsidRDefault="009D0276" w:rsidP="009B2F5B">
      <w:pPr>
        <w:keepNext/>
        <w:jc w:val="center"/>
      </w:pPr>
      <w:r>
        <w:t>XI. fejezet 28. cikk (2) bekezdés</w:t>
      </w:r>
    </w:p>
    <w:p w14:paraId="3AF2B56C" w14:textId="77777777" w:rsidR="009D0276" w:rsidRPr="00920901" w:rsidRDefault="009D0276" w:rsidP="009B2F5B">
      <w:pPr>
        <w:keepN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9D0276" w:rsidRPr="00920901" w14:paraId="014C2C83" w14:textId="77777777" w:rsidTr="00D15720">
        <w:tc>
          <w:tcPr>
            <w:tcW w:w="4643" w:type="dxa"/>
          </w:tcPr>
          <w:p w14:paraId="0C26C788" w14:textId="77777777" w:rsidR="009D0276" w:rsidRPr="00920901" w:rsidRDefault="009D0276" w:rsidP="009B2F5B">
            <w:pPr>
              <w:keepNext/>
              <w:jc w:val="center"/>
              <w:rPr>
                <w:b/>
                <w:bCs/>
                <w:i/>
                <w:iCs/>
              </w:rPr>
            </w:pPr>
            <w:r>
              <w:rPr>
                <w:b/>
                <w:i/>
              </w:rPr>
              <w:t>Az Európai Bizottság által javasolt szöveg</w:t>
            </w:r>
          </w:p>
        </w:tc>
        <w:tc>
          <w:tcPr>
            <w:tcW w:w="4646" w:type="dxa"/>
          </w:tcPr>
          <w:p w14:paraId="46C150F9" w14:textId="77777777" w:rsidR="009D0276" w:rsidRPr="00920901" w:rsidRDefault="009D0276" w:rsidP="009B2F5B">
            <w:pPr>
              <w:keepNext/>
              <w:jc w:val="center"/>
              <w:rPr>
                <w:b/>
                <w:i/>
              </w:rPr>
            </w:pPr>
            <w:r>
              <w:rPr>
                <w:b/>
                <w:i/>
              </w:rPr>
              <w:t>Az RB módosítása</w:t>
            </w:r>
          </w:p>
        </w:tc>
      </w:tr>
      <w:tr w:rsidR="009D0276" w:rsidRPr="00920901" w14:paraId="2800253E" w14:textId="77777777" w:rsidTr="00D15720">
        <w:tc>
          <w:tcPr>
            <w:tcW w:w="4643" w:type="dxa"/>
          </w:tcPr>
          <w:p w14:paraId="62545F13" w14:textId="77777777" w:rsidR="009D0276" w:rsidRPr="00920901" w:rsidRDefault="009D0276" w:rsidP="0081450B"/>
        </w:tc>
        <w:tc>
          <w:tcPr>
            <w:tcW w:w="4646" w:type="dxa"/>
          </w:tcPr>
          <w:p w14:paraId="59D052AA" w14:textId="56B0D383" w:rsidR="009D0276" w:rsidRPr="00920901" w:rsidRDefault="00274C4A" w:rsidP="004F45FC">
            <w:pPr>
              <w:spacing w:line="264" w:lineRule="auto"/>
            </w:pPr>
            <w:r>
              <w:rPr>
                <w:b/>
                <w:i/>
              </w:rPr>
              <w:t>A Bizottságnak a lehető legnagyobb mértékben támogatnia kell a nemzeti hatóságokat és a nemzeti irodákat az Európai Szolidaritási Testületben javasolt valamennyi kezdeményezésre vonatkozó információk terjesztésében, ezáltal elősegítve a helyi és regionális szervezetek maximális tájékoztatását, megfelelő közvetlen vagy közvetett technikai segítséget nyújtva a nyilvántartásba vétel és később a pénzalapok lehívása során.</w:t>
            </w:r>
          </w:p>
        </w:tc>
      </w:tr>
    </w:tbl>
    <w:p w14:paraId="28A17B10" w14:textId="77777777" w:rsidR="009D0276" w:rsidRPr="00920901" w:rsidRDefault="009D0276" w:rsidP="0081450B">
      <w:pPr>
        <w:rPr>
          <w:highlight w:val="yell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9D0276" w:rsidRPr="00920901" w14:paraId="16D04C46" w14:textId="77777777" w:rsidTr="00D15720">
        <w:tc>
          <w:tcPr>
            <w:tcW w:w="9289" w:type="dxa"/>
          </w:tcPr>
          <w:p w14:paraId="55FAEFD9" w14:textId="77777777" w:rsidR="009D0276" w:rsidRPr="00920901" w:rsidRDefault="009D0276" w:rsidP="009B2F5B">
            <w:pPr>
              <w:keepNext/>
              <w:jc w:val="center"/>
              <w:rPr>
                <w:b/>
                <w:i/>
              </w:rPr>
            </w:pPr>
            <w:r>
              <w:rPr>
                <w:b/>
                <w:i/>
              </w:rPr>
              <w:t>Indokolás</w:t>
            </w:r>
          </w:p>
        </w:tc>
      </w:tr>
      <w:tr w:rsidR="009D0276" w:rsidRPr="00920901" w14:paraId="4AF0601B" w14:textId="77777777" w:rsidTr="00D15720">
        <w:tc>
          <w:tcPr>
            <w:tcW w:w="9289" w:type="dxa"/>
          </w:tcPr>
          <w:p w14:paraId="500AD73F" w14:textId="7C7D8CC1" w:rsidR="009D0276" w:rsidRPr="00920901" w:rsidRDefault="00A63B59" w:rsidP="009B2F5B">
            <w:r>
              <w:t>Elengedhetetlen a helyi és regionális szereplők bevonásának további ösztönzése, aktívabb részvétel és folyamatosan frissített hálózat biztosítása minden műszaki információs és oktatási referenciarendszerhez.</w:t>
            </w:r>
          </w:p>
        </w:tc>
      </w:tr>
    </w:tbl>
    <w:p w14:paraId="02A3CBF2" w14:textId="77777777" w:rsidR="009D0276" w:rsidRPr="00920901" w:rsidRDefault="009D0276" w:rsidP="009B2F5B">
      <w:pPr>
        <w:rPr>
          <w:highlight w:val="yellow"/>
        </w:rPr>
      </w:pPr>
    </w:p>
    <w:p w14:paraId="60D3B81D" w14:textId="77777777" w:rsidR="00D57106" w:rsidRPr="00920901" w:rsidRDefault="00D57106" w:rsidP="0081450B">
      <w:pPr>
        <w:rPr>
          <w:highlight w:val="yellow"/>
        </w:rPr>
      </w:pPr>
    </w:p>
    <w:p w14:paraId="354B0907" w14:textId="77777777" w:rsidR="00D57106" w:rsidRPr="00920901" w:rsidRDefault="00D57106" w:rsidP="009B2F5B">
      <w:pPr>
        <w:keepNext/>
        <w:numPr>
          <w:ilvl w:val="0"/>
          <w:numId w:val="12"/>
        </w:numPr>
        <w:ind w:left="567" w:hanging="567"/>
        <w:rPr>
          <w:b/>
          <w:bCs/>
          <w:caps/>
        </w:rPr>
      </w:pPr>
      <w:r>
        <w:rPr>
          <w:b/>
          <w:caps/>
        </w:rPr>
        <w:t>POLITIKAI AJÁNLÁSOK</w:t>
      </w:r>
    </w:p>
    <w:p w14:paraId="1AA62FE1" w14:textId="77777777" w:rsidR="00EA762A" w:rsidRPr="00920901" w:rsidRDefault="00EA762A" w:rsidP="009B2F5B">
      <w:pPr>
        <w:keepNext/>
      </w:pPr>
    </w:p>
    <w:p w14:paraId="186781B8" w14:textId="7ABB37A7" w:rsidR="008362D0" w:rsidRPr="00920901" w:rsidRDefault="002669AD" w:rsidP="009B2F5B">
      <w:pPr>
        <w:keepNext/>
        <w:rPr>
          <w:i/>
          <w:iCs/>
        </w:rPr>
      </w:pPr>
      <w:r>
        <w:rPr>
          <w:i/>
        </w:rPr>
        <w:t>Általános megjegyzések – Az EU ifjúsági stratégiája</w:t>
      </w:r>
    </w:p>
    <w:p w14:paraId="55E82F02" w14:textId="77777777" w:rsidR="008C54C7" w:rsidRPr="00920901" w:rsidRDefault="008C54C7" w:rsidP="009B2F5B">
      <w:pPr>
        <w:keepNext/>
        <w:rPr>
          <w:highlight w:val="yellow"/>
        </w:rPr>
      </w:pPr>
    </w:p>
    <w:p w14:paraId="47603E49" w14:textId="778DC730" w:rsidR="00E4224C" w:rsidRPr="00920901" w:rsidRDefault="007D1BF7" w:rsidP="0081450B">
      <w:pPr>
        <w:pStyle w:val="Heading1"/>
      </w:pPr>
      <w:r>
        <w:t>hangsúlyozza, hogy az ifjúságpolitikát egy horizontális megközelítés segítségével minden uniós politikába be kell építeni, ösztönözve az ágazatközi, régióközi és határokon átnyúló együttműködést;</w:t>
      </w:r>
    </w:p>
    <w:p w14:paraId="52425933" w14:textId="77777777" w:rsidR="00E4224C" w:rsidRPr="00920901" w:rsidRDefault="00E4224C" w:rsidP="0081450B"/>
    <w:p w14:paraId="5664DBD5" w14:textId="151F7F0A" w:rsidR="00DA6CF9" w:rsidRPr="00920901" w:rsidRDefault="009D63D8" w:rsidP="0081450B">
      <w:pPr>
        <w:pStyle w:val="Heading1"/>
      </w:pPr>
      <w:r>
        <w:t xml:space="preserve">határozottan üdvözli az Európai Bizottság </w:t>
      </w:r>
      <w:r>
        <w:rPr>
          <w:i/>
        </w:rPr>
        <w:t>uniós ifjúságügyi koordinátor</w:t>
      </w:r>
      <w:r>
        <w:t xml:space="preserve"> bevezetésére és az </w:t>
      </w:r>
      <w:r>
        <w:rPr>
          <w:i/>
        </w:rPr>
        <w:t>uniós ifjúsági stratégiai platform</w:t>
      </w:r>
      <w:r>
        <w:t xml:space="preserve"> kidolgozására vonatkozó javaslatát, mivel ez segíti az információáramlást, és ezáltal állandó és hatékony párbeszédet biztosít valamennyi érdekelt féllel;</w:t>
      </w:r>
    </w:p>
    <w:p w14:paraId="76526034" w14:textId="77777777" w:rsidR="00DA6CF9" w:rsidRPr="00920901" w:rsidRDefault="00DA6CF9" w:rsidP="0081450B"/>
    <w:p w14:paraId="074FA3A1" w14:textId="25BE9A03" w:rsidR="001F231D" w:rsidRPr="00920901" w:rsidRDefault="009D63D8" w:rsidP="0081450B">
      <w:pPr>
        <w:pStyle w:val="Heading1"/>
      </w:pPr>
      <w:r>
        <w:t xml:space="preserve">szorgalmazza rendszeres találkozók ütemezését az </w:t>
      </w:r>
      <w:r>
        <w:rPr>
          <w:i/>
        </w:rPr>
        <w:t>uniós ifjúságügyi koordinátorral</w:t>
      </w:r>
      <w:r>
        <w:t>, illetve a formális együttműködés elismerését a Régiók Bizottságával, amely az ifjúsági politikák területén a helyi és regionális szociális igényeket tolmácsolja;</w:t>
      </w:r>
    </w:p>
    <w:p w14:paraId="2FD0393E" w14:textId="77777777" w:rsidR="001F231D" w:rsidRPr="00920901" w:rsidRDefault="001F231D" w:rsidP="0081450B">
      <w:pPr>
        <w:rPr>
          <w:highlight w:val="yellow"/>
        </w:rPr>
      </w:pPr>
    </w:p>
    <w:p w14:paraId="0546F783" w14:textId="1C273B2F" w:rsidR="000B1D75" w:rsidRPr="00920901" w:rsidRDefault="009D63D8" w:rsidP="0081450B">
      <w:pPr>
        <w:pStyle w:val="Heading1"/>
      </w:pPr>
      <w:r>
        <w:t>üdvözli az új</w:t>
      </w:r>
      <w:r>
        <w:rPr>
          <w:i/>
        </w:rPr>
        <w:t xml:space="preserve"> ifjúsági munkatervet</w:t>
      </w:r>
      <w:r>
        <w:t xml:space="preserve">, kiemelve annak társadalmi jelentőségét a különböző </w:t>
      </w:r>
      <w:r>
        <w:rPr>
          <w:i/>
        </w:rPr>
        <w:t>hátterű</w:t>
      </w:r>
      <w:r>
        <w:t xml:space="preserve"> fiatalok számára, és hangsúlyozza, hogy a megújított </w:t>
      </w:r>
      <w:r>
        <w:rPr>
          <w:i/>
        </w:rPr>
        <w:t>uniós ifjúsági párbeszéd</w:t>
      </w:r>
      <w:r>
        <w:t xml:space="preserve"> révén be kell vonni a fiatalokat – köztük a legsebezhetőbbeket is;</w:t>
      </w:r>
    </w:p>
    <w:p w14:paraId="0E921BC2" w14:textId="77777777" w:rsidR="000B1D75" w:rsidRPr="00920901" w:rsidRDefault="000B1D75" w:rsidP="0081450B"/>
    <w:p w14:paraId="163F99AD" w14:textId="79EBFD34" w:rsidR="00F14906" w:rsidRPr="00920901" w:rsidRDefault="009D63D8" w:rsidP="0081450B">
      <w:pPr>
        <w:pStyle w:val="Heading1"/>
      </w:pPr>
      <w:r>
        <w:t xml:space="preserve">javasolja a különböző </w:t>
      </w:r>
      <w:r>
        <w:rPr>
          <w:i/>
        </w:rPr>
        <w:t>hátterű</w:t>
      </w:r>
      <w:r>
        <w:t xml:space="preserve"> fiatalok teljes körű befogadását az egyenlő esélyek, a társadalmi beilleszkedés és az álláskeresés támogatása érdekében, aktív részvételt garantálva számukra a legdinamikusabb ágazatokban, például a sportban;</w:t>
      </w:r>
    </w:p>
    <w:p w14:paraId="20F73E2B" w14:textId="77777777" w:rsidR="00F14906" w:rsidRPr="00920901" w:rsidRDefault="00F14906" w:rsidP="0081450B">
      <w:pPr>
        <w:rPr>
          <w:highlight w:val="yellow"/>
        </w:rPr>
      </w:pPr>
    </w:p>
    <w:p w14:paraId="4818B390" w14:textId="4006608E" w:rsidR="008B7894" w:rsidRPr="00920901" w:rsidRDefault="009D63D8" w:rsidP="0081450B">
      <w:pPr>
        <w:pStyle w:val="Heading1"/>
      </w:pPr>
      <w:r>
        <w:t>üdvözli az uniós kiadások szisztematikus nyomon követhetőségének alkalmazását a különböző ifjúsági finanszírozási programok keretében, remélve, hogy az ifjúsági politikák további hosszú távú pénzügyi növekedésre számíthatnak;</w:t>
      </w:r>
    </w:p>
    <w:p w14:paraId="76AD8123" w14:textId="77777777" w:rsidR="008B7894" w:rsidRPr="00920901" w:rsidRDefault="008B7894" w:rsidP="0081450B"/>
    <w:p w14:paraId="1DF3DDA0" w14:textId="77777777" w:rsidR="00110547" w:rsidRPr="00920901" w:rsidRDefault="00110547" w:rsidP="009B2F5B">
      <w:pPr>
        <w:keepNext/>
      </w:pPr>
      <w:r>
        <w:rPr>
          <w:i/>
        </w:rPr>
        <w:t>Európai Szolidaritási Testület</w:t>
      </w:r>
    </w:p>
    <w:p w14:paraId="2F89F33B" w14:textId="77777777" w:rsidR="00E4224C" w:rsidRPr="00920901" w:rsidRDefault="00E4224C" w:rsidP="009B2F5B">
      <w:pPr>
        <w:keepNext/>
        <w:rPr>
          <w:highlight w:val="yellow"/>
        </w:rPr>
      </w:pPr>
    </w:p>
    <w:p w14:paraId="5A44E96F" w14:textId="186AF14D" w:rsidR="000B1D75" w:rsidRPr="00920901" w:rsidRDefault="009D63D8" w:rsidP="0081450B">
      <w:pPr>
        <w:pStyle w:val="Heading1"/>
      </w:pPr>
      <w:r>
        <w:t>javasolja a helyi önkéntesség megerősítését, hangsúlyozva, hogy sok fiatal vesz részt a helyi közösségek projektjeiben, amit hasznosítani kell a polgári szerepvállalás, a társadalmi integráció és a vidékről városi területekre történő migráció elleni küzdelem terén</w:t>
      </w:r>
      <w:r w:rsidR="00437A3F" w:rsidRPr="00920901">
        <w:rPr>
          <w:rStyle w:val="FootnoteReference"/>
        </w:rPr>
        <w:footnoteReference w:id="1"/>
      </w:r>
      <w:r>
        <w:t>;</w:t>
      </w:r>
    </w:p>
    <w:p w14:paraId="20BC40B6" w14:textId="77777777" w:rsidR="004306C1" w:rsidRPr="00920901" w:rsidRDefault="004306C1" w:rsidP="0081450B"/>
    <w:p w14:paraId="710B437B" w14:textId="4FB2EE18" w:rsidR="000B1D75" w:rsidRPr="00920901" w:rsidRDefault="009D63D8" w:rsidP="009B2F5B">
      <w:pPr>
        <w:pStyle w:val="Heading1"/>
      </w:pPr>
      <w:r>
        <w:t>sürgeti, hogy a bizonytalan vagy nem fizetett munka elkerülése érdekében egyértelműen határolják el egymástól az Európai Szolidaritási Testület önkéntes és foglalkoztatási profilját, bár elismeri kiegészítő jellegüket;</w:t>
      </w:r>
    </w:p>
    <w:p w14:paraId="1C0B3614" w14:textId="77777777" w:rsidR="004306C1" w:rsidRPr="00920901" w:rsidRDefault="004306C1" w:rsidP="009B2F5B"/>
    <w:p w14:paraId="75265C47" w14:textId="58701CCC" w:rsidR="000B1D75" w:rsidRPr="00920901" w:rsidRDefault="009D63D8" w:rsidP="009B2F5B">
      <w:pPr>
        <w:pStyle w:val="Heading1"/>
      </w:pPr>
      <w:r>
        <w:t xml:space="preserve">ismételten hangsúlyozza annak fontosságát, hogy elismerjék az önkéntesség révén szerzett készségeket az Európai Szolidaritási Testület által kibocsátott tanúsítványok révén, olyan értékelési eszközöket is alkalmazva, mint a </w:t>
      </w:r>
      <w:r>
        <w:rPr>
          <w:i/>
        </w:rPr>
        <w:t>Youthpass</w:t>
      </w:r>
      <w:r>
        <w:t xml:space="preserve"> és a</w:t>
      </w:r>
      <w:r>
        <w:rPr>
          <w:i/>
        </w:rPr>
        <w:t xml:space="preserve"> Europass,</w:t>
      </w:r>
      <w:r>
        <w:t xml:space="preserve"> vagy a tanulószerződéses gyakorlati képzésekhez meghatározott kritériumok;</w:t>
      </w:r>
    </w:p>
    <w:p w14:paraId="5BAF06C7" w14:textId="77777777" w:rsidR="000B1D75" w:rsidRPr="00920901" w:rsidRDefault="000B1D75" w:rsidP="009B2F5B"/>
    <w:p w14:paraId="235FC289" w14:textId="25957FE7" w:rsidR="00BE5B6F" w:rsidRPr="00920901" w:rsidRDefault="009D63D8" w:rsidP="0081450B">
      <w:pPr>
        <w:pStyle w:val="Heading1"/>
      </w:pPr>
      <w:r>
        <w:t xml:space="preserve">kéri a részt vevő szervezetek hatékony nyomon követését, </w:t>
      </w:r>
      <w:r>
        <w:rPr>
          <w:i/>
        </w:rPr>
        <w:t>a színvonalas és eredményes tanulószerződéses gyakorlati képzés európai keretrendszeréről szóló tanácsi ajánlásban</w:t>
      </w:r>
      <w:r w:rsidR="00A5533F" w:rsidRPr="00920901">
        <w:rPr>
          <w:rStyle w:val="FootnoteReference"/>
        </w:rPr>
        <w:footnoteReference w:id="2"/>
      </w:r>
      <w:r>
        <w:t xml:space="preserve"> kiemelt elvek és előírások tiszteletben tartása érdekében;</w:t>
      </w:r>
    </w:p>
    <w:p w14:paraId="2BB6BEEA" w14:textId="77777777" w:rsidR="00BE5B6F" w:rsidRPr="00920901" w:rsidRDefault="00BE5B6F" w:rsidP="0081450B">
      <w:pPr>
        <w:rPr>
          <w:highlight w:val="yellow"/>
        </w:rPr>
      </w:pPr>
    </w:p>
    <w:p w14:paraId="2DF5BB43" w14:textId="1FCA6CAB" w:rsidR="00C63F03" w:rsidRPr="00920901" w:rsidRDefault="009D63D8" w:rsidP="0081450B">
      <w:pPr>
        <w:pStyle w:val="Heading1"/>
      </w:pPr>
      <w:r>
        <w:t xml:space="preserve">felszólít arra, hogy specifikus kritériumokat határozzanak meg az olyan projektek értékeléséhez, amelyekbe csatlakozásra váró országokat vonnak be. Ezekben az országokban ugyanis a korábbi problémák negatívan befolyásolhatják a szolidaritás és az önkéntes munka fogadtatását, így a fiatalok is kevésbé érzékenyek ezekre az értékekre; </w:t>
      </w:r>
    </w:p>
    <w:p w14:paraId="471DBF53" w14:textId="77777777" w:rsidR="00321180" w:rsidRPr="00920901" w:rsidRDefault="00321180" w:rsidP="0081450B"/>
    <w:p w14:paraId="5B419FA7" w14:textId="77777777" w:rsidR="00C63F03" w:rsidRPr="00920901" w:rsidRDefault="00C63F03" w:rsidP="009B2F5B">
      <w:pPr>
        <w:keepNext/>
        <w:rPr>
          <w:i/>
          <w:iCs/>
        </w:rPr>
      </w:pPr>
      <w:r>
        <w:rPr>
          <w:i/>
        </w:rPr>
        <w:t>Részletes ajánlások</w:t>
      </w:r>
    </w:p>
    <w:p w14:paraId="7F96B4F6" w14:textId="77777777" w:rsidR="00C63F03" w:rsidRPr="00920901" w:rsidRDefault="00C63F03" w:rsidP="009B2F5B">
      <w:pPr>
        <w:keepNext/>
        <w:rPr>
          <w:highlight w:val="yellow"/>
        </w:rPr>
      </w:pPr>
    </w:p>
    <w:p w14:paraId="094AA8EC" w14:textId="113F3869" w:rsidR="005B3CA2" w:rsidRPr="00920901" w:rsidRDefault="00E4224C" w:rsidP="0081450B">
      <w:pPr>
        <w:pStyle w:val="Heading1"/>
      </w:pPr>
      <w:r>
        <w:t xml:space="preserve">osztja az Európai Bizottság azon célkitűzését, hogy növelje az </w:t>
      </w:r>
      <w:r>
        <w:rPr>
          <w:i/>
        </w:rPr>
        <w:t>uniós ifjúsági stratégia</w:t>
      </w:r>
      <w:r>
        <w:t xml:space="preserve"> helyi szintű hatását;</w:t>
      </w:r>
    </w:p>
    <w:p w14:paraId="4BDE09E9" w14:textId="77777777" w:rsidR="005B3CA2" w:rsidRPr="00920901" w:rsidRDefault="005B3CA2" w:rsidP="0081450B"/>
    <w:p w14:paraId="6079DC41" w14:textId="08BAD621" w:rsidR="00025D4A" w:rsidRPr="00920901" w:rsidRDefault="00025D4A" w:rsidP="0081450B">
      <w:pPr>
        <w:pStyle w:val="Heading1"/>
      </w:pPr>
      <w:r>
        <w:t xml:space="preserve">elismeri az </w:t>
      </w:r>
      <w:r>
        <w:rPr>
          <w:i/>
        </w:rPr>
        <w:t>uniós ifjúságügyi koordinátor</w:t>
      </w:r>
      <w:r>
        <w:t xml:space="preserve"> jelentőségét, illetve azt a stratégiai szerepet, melyet betölt egyfelől a Régiók Bizottságával rendszeresített találkozói révén, másfelől azáltal, hogy megerősíti a képzési/információs csatornákat az érintett nemzeti irodákkal;</w:t>
      </w:r>
    </w:p>
    <w:p w14:paraId="51317681" w14:textId="77777777" w:rsidR="00E4224C" w:rsidRPr="00920901" w:rsidRDefault="00E4224C" w:rsidP="0081450B">
      <w:pPr>
        <w:rPr>
          <w:highlight w:val="yellow"/>
        </w:rPr>
      </w:pPr>
    </w:p>
    <w:p w14:paraId="719C04D5" w14:textId="33B7966B" w:rsidR="00187887" w:rsidRPr="00920901" w:rsidRDefault="00FB3211" w:rsidP="0081450B">
      <w:pPr>
        <w:pStyle w:val="Heading1"/>
      </w:pPr>
      <w:r>
        <w:t>elismeri a magánszektor fontosságát az ún. „</w:t>
      </w:r>
      <w:r>
        <w:rPr>
          <w:i/>
        </w:rPr>
        <w:t>occupational placements</w:t>
      </w:r>
      <w:r>
        <w:t>” vonatkozásában, amelynek kapcsán azonban kéri, hogy a szolidaritási tevékenységekhez mindig garantáljanak javadalmazást;</w:t>
      </w:r>
    </w:p>
    <w:p w14:paraId="063815B3" w14:textId="77777777" w:rsidR="00187887" w:rsidRPr="00920901" w:rsidRDefault="00187887" w:rsidP="0081450B">
      <w:pPr>
        <w:rPr>
          <w:highlight w:val="yellow"/>
        </w:rPr>
      </w:pPr>
    </w:p>
    <w:p w14:paraId="30A52DCD" w14:textId="2512467D" w:rsidR="00AA4767" w:rsidRPr="00920901" w:rsidRDefault="00AA4767" w:rsidP="0081450B">
      <w:pPr>
        <w:pStyle w:val="Heading1"/>
      </w:pPr>
      <w:r>
        <w:t>úgy véli, hogy a projektek végrehajtásakor a maximális minőség biztosítása érdekében elengedhetetlen, hogy az értékelési szakaszokat minél inkább felgyorsítsák, lehetővé téve a részt vevő szervezetek számára az alapok gyorsabb lehívását, illetve a projektek egyszerű, korszerű és rugalmas eljárásokkal történő regisztrációját, különös figyelmet fordítva azokra a szervezetekre, amelyek korlátozott internet-hozzáféréssel rendelkeznek és/vagy nyelvi nehézségekkel küzdenek;</w:t>
      </w:r>
    </w:p>
    <w:p w14:paraId="4BDADDAA" w14:textId="77777777" w:rsidR="00323CCF" w:rsidRPr="00920901" w:rsidRDefault="00323CCF" w:rsidP="0081450B"/>
    <w:p w14:paraId="2676A94D" w14:textId="0FDAE9C3" w:rsidR="00E4224C" w:rsidRPr="00920901" w:rsidRDefault="00BE144E" w:rsidP="0081450B">
      <w:pPr>
        <w:pStyle w:val="Heading1"/>
      </w:pPr>
      <w:r>
        <w:t xml:space="preserve">hangsúlyozza, hogy az </w:t>
      </w:r>
      <w:r>
        <w:rPr>
          <w:i/>
        </w:rPr>
        <w:t>Európai Szolidaritási Testület</w:t>
      </w:r>
      <w:r>
        <w:t xml:space="preserve"> minél szélesebb körű helyi és regionális elterjedésének érdekében alapvető fontosságú a nemzeti érdekképviseletekkel való állandó együttműködés, valamint a kínált szolidaritási lehetőségek konkrét és hatékony népszerűsítése;</w:t>
      </w:r>
    </w:p>
    <w:p w14:paraId="251B21E8" w14:textId="77777777" w:rsidR="009F36FE" w:rsidRPr="00920901" w:rsidRDefault="009F36FE" w:rsidP="001A671F">
      <w:pPr>
        <w:spacing w:line="360" w:lineRule="auto"/>
        <w:rPr>
          <w:sz w:val="20"/>
        </w:rPr>
      </w:pPr>
    </w:p>
    <w:p w14:paraId="1CF077C2" w14:textId="3B3D7839" w:rsidR="00E4224C" w:rsidRPr="00920901" w:rsidRDefault="00F90609" w:rsidP="009B2F5B">
      <w:pPr>
        <w:pStyle w:val="Heading1"/>
      </w:pPr>
      <w:r>
        <w:t xml:space="preserve">szorgalmazza, hogy a </w:t>
      </w:r>
      <w:r>
        <w:rPr>
          <w:i/>
        </w:rPr>
        <w:t>minőségi címke</w:t>
      </w:r>
      <w:r>
        <w:t xml:space="preserve"> odaítélésével értékeljék a legeredetibb és leghatékonyabb önkéntes tevékenységeket (például a sportegyesületekkel kiépített együttműködést és szinergiát), amelyek képesek arra ösztönözni a fiatalokat, hogy egész életük során szerepet vállaljanak a szolidaritás jegyében, és reméli, hogy a részt vevő szervezetek különféle adókedvezményekből profitálhatnak a tagállamok önálló kezdeményezésére;</w:t>
      </w:r>
    </w:p>
    <w:p w14:paraId="502F02FA" w14:textId="77777777" w:rsidR="00E4224C" w:rsidRPr="00920901" w:rsidRDefault="00E4224C" w:rsidP="009B2F5B">
      <w:pPr>
        <w:rPr>
          <w:highlight w:val="yellow"/>
        </w:rPr>
      </w:pPr>
    </w:p>
    <w:p w14:paraId="74A931D9" w14:textId="26C3A830" w:rsidR="0078771B" w:rsidRPr="00920901" w:rsidRDefault="00595C6A" w:rsidP="009B2F5B">
      <w:pPr>
        <w:pStyle w:val="Heading1"/>
      </w:pPr>
      <w:r>
        <w:t>sajnálatát fejezi ki a „szociális vállalkozások” európai szintű közös és egységes meghatározásának hiánya miatt, ugyanakkor a rendeletre irányuló javaslat arra kéri ezeket a vállalkozásokat, hogy gondoskodjanak a program által támogatott tevékenységek lehetőségeinek és eredményeinek a célba juttatásáról, hirdetéséről és terjesztéséről (38. preambulumbekezdés), valamint az Európai Szolidaritási Testület tevékenységeinek támogatásáról;</w:t>
      </w:r>
    </w:p>
    <w:p w14:paraId="47612D2B" w14:textId="77777777" w:rsidR="0078771B" w:rsidRPr="00920901" w:rsidRDefault="0078771B" w:rsidP="0081450B"/>
    <w:p w14:paraId="77087A6A" w14:textId="3B180A23" w:rsidR="00E411EC" w:rsidRPr="00920901" w:rsidRDefault="0078771B" w:rsidP="001B59AD">
      <w:pPr>
        <w:pStyle w:val="Heading1"/>
      </w:pPr>
      <w:r>
        <w:t xml:space="preserve">javasolja, hogy az </w:t>
      </w:r>
      <w:r>
        <w:rPr>
          <w:i/>
        </w:rPr>
        <w:t>Európai Önkéntes Központ</w:t>
      </w:r>
      <w:r>
        <w:t xml:space="preserve"> által az önkéntességgel kapcsolatban elismert közös mutatókat építsék be a szolidaritási tevékenységek értékelésébe.</w:t>
      </w:r>
    </w:p>
    <w:p w14:paraId="1B4D3CA8" w14:textId="77777777" w:rsidR="00EA762A" w:rsidRPr="00920901" w:rsidRDefault="00EA762A" w:rsidP="0081450B">
      <w:pPr>
        <w:rPr>
          <w:highlight w:val="yellow"/>
        </w:rPr>
      </w:pPr>
    </w:p>
    <w:p w14:paraId="0CAFF7F4" w14:textId="77777777" w:rsidR="003B528B" w:rsidRPr="00920901" w:rsidRDefault="002F7D93" w:rsidP="0081450B">
      <w:r>
        <w:t xml:space="preserve">Kelt Brüsszelben, </w:t>
      </w:r>
    </w:p>
    <w:p w14:paraId="77C62EB6" w14:textId="77777777" w:rsidR="003B528B" w:rsidRPr="00920901" w:rsidRDefault="003B528B" w:rsidP="0081450B"/>
    <w:p w14:paraId="2E51D86D" w14:textId="55C81478" w:rsidR="002F7D93" w:rsidRPr="00920901" w:rsidRDefault="002F7D93" w:rsidP="00CC55DE">
      <w:pPr>
        <w:numPr>
          <w:ilvl w:val="0"/>
          <w:numId w:val="12"/>
        </w:numPr>
        <w:ind w:left="567" w:hanging="567"/>
        <w:rPr>
          <w:b/>
          <w:bCs/>
        </w:rPr>
      </w:pPr>
      <w:r>
        <w:br w:type="page"/>
      </w:r>
      <w:r>
        <w:rPr>
          <w:b/>
        </w:rPr>
        <w:t>ELJÁRÁS</w:t>
      </w:r>
    </w:p>
    <w:p w14:paraId="1765FFB9" w14:textId="77777777" w:rsidR="00CC55DE" w:rsidRPr="00004664" w:rsidRDefault="00CC55DE" w:rsidP="00CC55DE">
      <w:pPr>
        <w:ind w:left="567"/>
        <w:rPr>
          <w:b/>
          <w:bCs/>
          <w:sz w:val="16"/>
          <w:szCs w:val="16"/>
        </w:rPr>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5390"/>
      </w:tblGrid>
      <w:tr w:rsidR="004D6A4B" w:rsidRPr="00920901" w14:paraId="01A5C204" w14:textId="77777777" w:rsidTr="001B1081">
        <w:tc>
          <w:tcPr>
            <w:tcW w:w="3848" w:type="dxa"/>
            <w:noWrap/>
          </w:tcPr>
          <w:p w14:paraId="44FAE982" w14:textId="77777777" w:rsidR="004D6A4B" w:rsidRPr="00920901" w:rsidRDefault="004D6A4B" w:rsidP="00004664">
            <w:pPr>
              <w:spacing w:line="264" w:lineRule="auto"/>
              <w:rPr>
                <w:b/>
                <w:bCs/>
              </w:rPr>
            </w:pPr>
            <w:r>
              <w:rPr>
                <w:b/>
                <w:bCs/>
              </w:rPr>
              <w:t>Cím:</w:t>
            </w:r>
          </w:p>
        </w:tc>
        <w:tc>
          <w:tcPr>
            <w:tcW w:w="5390" w:type="dxa"/>
            <w:noWrap/>
          </w:tcPr>
          <w:p w14:paraId="68DD0215" w14:textId="77777777" w:rsidR="004D6A4B" w:rsidRPr="00920901" w:rsidRDefault="004D6A4B" w:rsidP="00004664">
            <w:pPr>
              <w:spacing w:line="264" w:lineRule="auto"/>
              <w:rPr>
                <w:bCs/>
              </w:rPr>
            </w:pPr>
            <w:r>
              <w:t>Európai Szolidaritási Testület és az EU új ifjúsági stratégiája</w:t>
            </w:r>
          </w:p>
        </w:tc>
      </w:tr>
      <w:tr w:rsidR="004D6A4B" w:rsidRPr="00920901" w14:paraId="4697B5F2" w14:textId="77777777" w:rsidTr="001B1081">
        <w:tc>
          <w:tcPr>
            <w:tcW w:w="3848" w:type="dxa"/>
            <w:noWrap/>
          </w:tcPr>
          <w:p w14:paraId="4F10B386" w14:textId="77777777" w:rsidR="004D6A4B" w:rsidRPr="00920901" w:rsidRDefault="004D6A4B" w:rsidP="00004664">
            <w:pPr>
              <w:spacing w:line="264" w:lineRule="auto"/>
              <w:rPr>
                <w:b/>
                <w:bCs/>
              </w:rPr>
            </w:pPr>
            <w:r>
              <w:rPr>
                <w:b/>
                <w:bCs/>
              </w:rPr>
              <w:t xml:space="preserve">Hivatkozás: </w:t>
            </w:r>
          </w:p>
        </w:tc>
        <w:tc>
          <w:tcPr>
            <w:tcW w:w="5390" w:type="dxa"/>
            <w:noWrap/>
          </w:tcPr>
          <w:p w14:paraId="4EC3EBA1" w14:textId="77777777" w:rsidR="004D6A4B" w:rsidRPr="00920901" w:rsidRDefault="004D6A4B" w:rsidP="00004664">
            <w:pPr>
              <w:spacing w:line="264" w:lineRule="auto"/>
              <w:rPr>
                <w:bCs/>
              </w:rPr>
            </w:pPr>
            <w:r>
              <w:t>COM(2018) 440 final</w:t>
            </w:r>
          </w:p>
          <w:p w14:paraId="4D335D86" w14:textId="77777777" w:rsidR="004D6A4B" w:rsidRPr="00920901" w:rsidRDefault="004D6A4B" w:rsidP="00004664">
            <w:pPr>
              <w:spacing w:line="264" w:lineRule="auto"/>
              <w:rPr>
                <w:bCs/>
              </w:rPr>
            </w:pPr>
            <w:r>
              <w:t>COM(2018) 269 final</w:t>
            </w:r>
          </w:p>
        </w:tc>
      </w:tr>
      <w:tr w:rsidR="004D6A4B" w:rsidRPr="00920901" w14:paraId="77E024F0" w14:textId="77777777" w:rsidTr="001B1081">
        <w:tc>
          <w:tcPr>
            <w:tcW w:w="3848" w:type="dxa"/>
            <w:noWrap/>
          </w:tcPr>
          <w:p w14:paraId="452BDDB4" w14:textId="77777777" w:rsidR="004D6A4B" w:rsidRPr="00920901" w:rsidRDefault="004D6A4B" w:rsidP="00004664">
            <w:pPr>
              <w:spacing w:line="264" w:lineRule="auto"/>
              <w:rPr>
                <w:b/>
                <w:bCs/>
              </w:rPr>
            </w:pPr>
            <w:r>
              <w:rPr>
                <w:b/>
                <w:bCs/>
              </w:rPr>
              <w:t>Jogalap:</w:t>
            </w:r>
          </w:p>
        </w:tc>
        <w:tc>
          <w:tcPr>
            <w:tcW w:w="5390" w:type="dxa"/>
            <w:noWrap/>
          </w:tcPr>
          <w:p w14:paraId="3EE52599" w14:textId="77777777" w:rsidR="004D6A4B" w:rsidRPr="00920901" w:rsidRDefault="004D6A4B" w:rsidP="00004664">
            <w:pPr>
              <w:spacing w:line="264" w:lineRule="auto"/>
              <w:rPr>
                <w:bCs/>
              </w:rPr>
            </w:pPr>
            <w:r>
              <w:t>az EUMSZ 165. és 166. cikke</w:t>
            </w:r>
          </w:p>
        </w:tc>
      </w:tr>
      <w:tr w:rsidR="004D6A4B" w:rsidRPr="00920901" w14:paraId="11254111" w14:textId="77777777" w:rsidTr="001B1081">
        <w:tc>
          <w:tcPr>
            <w:tcW w:w="3848" w:type="dxa"/>
            <w:noWrap/>
          </w:tcPr>
          <w:p w14:paraId="6CF5FA87" w14:textId="77777777" w:rsidR="004D6A4B" w:rsidRPr="00920901" w:rsidRDefault="004D6A4B" w:rsidP="00004664">
            <w:pPr>
              <w:spacing w:line="264" w:lineRule="auto"/>
              <w:rPr>
                <w:b/>
                <w:bCs/>
              </w:rPr>
            </w:pPr>
            <w:r>
              <w:rPr>
                <w:b/>
                <w:bCs/>
              </w:rPr>
              <w:t>Eljárási szabályzat:</w:t>
            </w:r>
          </w:p>
        </w:tc>
        <w:tc>
          <w:tcPr>
            <w:tcW w:w="5390" w:type="dxa"/>
            <w:noWrap/>
          </w:tcPr>
          <w:p w14:paraId="33990A19" w14:textId="0763C270" w:rsidR="004D6A4B" w:rsidRPr="00920901" w:rsidRDefault="004D6A4B" w:rsidP="00004664">
            <w:pPr>
              <w:spacing w:line="264" w:lineRule="auto"/>
              <w:rPr>
                <w:bCs/>
              </w:rPr>
            </w:pPr>
            <w:r>
              <w:t>felkérésre készülő vélemény (41. cikk a) pont)</w:t>
            </w:r>
          </w:p>
        </w:tc>
      </w:tr>
      <w:tr w:rsidR="004D6A4B" w:rsidRPr="00920901" w14:paraId="3D423FE4" w14:textId="77777777" w:rsidTr="001B1081">
        <w:tc>
          <w:tcPr>
            <w:tcW w:w="3848" w:type="dxa"/>
          </w:tcPr>
          <w:p w14:paraId="5D3DF6CD" w14:textId="77777777" w:rsidR="004D6A4B" w:rsidRPr="00920901" w:rsidRDefault="004D6A4B" w:rsidP="00004664">
            <w:pPr>
              <w:spacing w:line="264" w:lineRule="auto"/>
              <w:jc w:val="left"/>
              <w:rPr>
                <w:b/>
                <w:bCs/>
              </w:rPr>
            </w:pPr>
            <w:r>
              <w:rPr>
                <w:b/>
                <w:bCs/>
              </w:rPr>
              <w:t>A tanácsi/európai parlamenti felkérés kelte / Az Európai Bizottság levelének kelte:</w:t>
            </w:r>
          </w:p>
        </w:tc>
        <w:tc>
          <w:tcPr>
            <w:tcW w:w="5390" w:type="dxa"/>
            <w:noWrap/>
          </w:tcPr>
          <w:p w14:paraId="2D31F735" w14:textId="77777777" w:rsidR="004D6A4B" w:rsidRPr="00920901" w:rsidRDefault="004D6A4B" w:rsidP="00004664">
            <w:pPr>
              <w:spacing w:line="264" w:lineRule="auto"/>
              <w:rPr>
                <w:bCs/>
              </w:rPr>
            </w:pPr>
            <w:r>
              <w:t>Európai Bizottság, 2018. 06. 11.</w:t>
            </w:r>
          </w:p>
          <w:p w14:paraId="70E572D5" w14:textId="77777777" w:rsidR="004D6A4B" w:rsidRPr="00920901" w:rsidRDefault="004D6A4B" w:rsidP="00004664">
            <w:pPr>
              <w:spacing w:line="264" w:lineRule="auto"/>
              <w:rPr>
                <w:bCs/>
              </w:rPr>
            </w:pPr>
            <w:r>
              <w:t>Európai Parlament, 2018. 07. 02.</w:t>
            </w:r>
          </w:p>
          <w:p w14:paraId="2D7359A1" w14:textId="77777777" w:rsidR="004D6A4B" w:rsidRPr="00920901" w:rsidRDefault="004D6A4B" w:rsidP="00004664">
            <w:pPr>
              <w:spacing w:line="264" w:lineRule="auto"/>
              <w:rPr>
                <w:bCs/>
              </w:rPr>
            </w:pPr>
            <w:r>
              <w:t>Tanács, 2018. 07. 10.</w:t>
            </w:r>
          </w:p>
        </w:tc>
      </w:tr>
      <w:tr w:rsidR="004D6A4B" w:rsidRPr="00920901" w14:paraId="0145DE7A" w14:textId="77777777" w:rsidTr="001B1081">
        <w:tc>
          <w:tcPr>
            <w:tcW w:w="3848" w:type="dxa"/>
          </w:tcPr>
          <w:p w14:paraId="3199F5D4" w14:textId="0C0479C2" w:rsidR="004D6A4B" w:rsidRPr="00920901" w:rsidRDefault="004D6A4B" w:rsidP="00004664">
            <w:pPr>
              <w:spacing w:line="264" w:lineRule="auto"/>
              <w:rPr>
                <w:b/>
                <w:bCs/>
              </w:rPr>
            </w:pPr>
            <w:r>
              <w:rPr>
                <w:b/>
                <w:bCs/>
              </w:rPr>
              <w:t>Elnökségi/Elnöki határozat kelte:</w:t>
            </w:r>
          </w:p>
        </w:tc>
        <w:tc>
          <w:tcPr>
            <w:tcW w:w="5390" w:type="dxa"/>
            <w:noWrap/>
          </w:tcPr>
          <w:p w14:paraId="7A78A459" w14:textId="7D000AC9" w:rsidR="004D6A4B" w:rsidRPr="00920901" w:rsidRDefault="00004664" w:rsidP="00004664">
            <w:pPr>
              <w:spacing w:line="264" w:lineRule="auto"/>
              <w:rPr>
                <w:bCs/>
              </w:rPr>
            </w:pPr>
            <w:r>
              <w:t>–</w:t>
            </w:r>
          </w:p>
        </w:tc>
      </w:tr>
      <w:tr w:rsidR="004D6A4B" w:rsidRPr="00920901" w14:paraId="23B2732C" w14:textId="77777777" w:rsidTr="001B1081">
        <w:tc>
          <w:tcPr>
            <w:tcW w:w="3848" w:type="dxa"/>
            <w:noWrap/>
          </w:tcPr>
          <w:p w14:paraId="70749043" w14:textId="77777777" w:rsidR="004D6A4B" w:rsidRPr="00920901" w:rsidRDefault="004D6A4B" w:rsidP="00004664">
            <w:pPr>
              <w:spacing w:line="264" w:lineRule="auto"/>
              <w:rPr>
                <w:b/>
                <w:bCs/>
              </w:rPr>
            </w:pPr>
            <w:r>
              <w:rPr>
                <w:b/>
                <w:bCs/>
              </w:rPr>
              <w:t>Illetékes szakbizottság:</w:t>
            </w:r>
          </w:p>
        </w:tc>
        <w:tc>
          <w:tcPr>
            <w:tcW w:w="5390" w:type="dxa"/>
            <w:noWrap/>
          </w:tcPr>
          <w:p w14:paraId="42CF3F0B" w14:textId="77777777" w:rsidR="004D6A4B" w:rsidRPr="00920901" w:rsidRDefault="004D6A4B" w:rsidP="00004664">
            <w:pPr>
              <w:spacing w:line="264" w:lineRule="auto"/>
              <w:rPr>
                <w:bCs/>
              </w:rPr>
            </w:pPr>
            <w:r>
              <w:t>SEDEC</w:t>
            </w:r>
          </w:p>
        </w:tc>
      </w:tr>
      <w:tr w:rsidR="004D6A4B" w:rsidRPr="00920901" w14:paraId="333EA5FC" w14:textId="77777777" w:rsidTr="001B1081">
        <w:tc>
          <w:tcPr>
            <w:tcW w:w="3848" w:type="dxa"/>
            <w:noWrap/>
          </w:tcPr>
          <w:p w14:paraId="0FF92139" w14:textId="77777777" w:rsidR="004D6A4B" w:rsidRPr="00920901" w:rsidRDefault="004D6A4B" w:rsidP="00004664">
            <w:pPr>
              <w:spacing w:line="264" w:lineRule="auto"/>
              <w:rPr>
                <w:b/>
                <w:bCs/>
              </w:rPr>
            </w:pPr>
            <w:r>
              <w:rPr>
                <w:b/>
                <w:bCs/>
              </w:rPr>
              <w:t>Előadó:</w:t>
            </w:r>
          </w:p>
        </w:tc>
        <w:tc>
          <w:tcPr>
            <w:tcW w:w="5390" w:type="dxa"/>
            <w:noWrap/>
          </w:tcPr>
          <w:p w14:paraId="637C510F" w14:textId="77777777" w:rsidR="004D6A4B" w:rsidRPr="00920901" w:rsidRDefault="004D6A4B" w:rsidP="00004664">
            <w:pPr>
              <w:spacing w:line="264" w:lineRule="auto"/>
              <w:rPr>
                <w:bCs/>
              </w:rPr>
            </w:pPr>
            <w:r>
              <w:t>Matteo Bianchi (IT/ECR)</w:t>
            </w:r>
          </w:p>
        </w:tc>
      </w:tr>
      <w:tr w:rsidR="004D6A4B" w:rsidRPr="00920901" w14:paraId="496630D1" w14:textId="77777777" w:rsidTr="001B1081">
        <w:tc>
          <w:tcPr>
            <w:tcW w:w="3848" w:type="dxa"/>
            <w:noWrap/>
          </w:tcPr>
          <w:p w14:paraId="05727FDB" w14:textId="77777777" w:rsidR="004D6A4B" w:rsidRPr="00920901" w:rsidRDefault="004D6A4B" w:rsidP="00004664">
            <w:pPr>
              <w:spacing w:line="264" w:lineRule="auto"/>
              <w:rPr>
                <w:b/>
                <w:bCs/>
              </w:rPr>
            </w:pPr>
            <w:r>
              <w:rPr>
                <w:b/>
                <w:bCs/>
              </w:rPr>
              <w:t xml:space="preserve">Szakbizottsági vita: </w:t>
            </w:r>
          </w:p>
        </w:tc>
        <w:tc>
          <w:tcPr>
            <w:tcW w:w="5390" w:type="dxa"/>
            <w:noWrap/>
          </w:tcPr>
          <w:p w14:paraId="149F96BB" w14:textId="2449AC3F" w:rsidR="004D6A4B" w:rsidRPr="00920901" w:rsidRDefault="00A26D67" w:rsidP="00004664">
            <w:pPr>
              <w:spacing w:line="264" w:lineRule="auto"/>
              <w:rPr>
                <w:bCs/>
              </w:rPr>
            </w:pPr>
            <w:r>
              <w:t>várhatóan 2018. 10. 18.</w:t>
            </w:r>
          </w:p>
        </w:tc>
      </w:tr>
      <w:tr w:rsidR="004D6A4B" w:rsidRPr="00920901" w14:paraId="15C5C6E3" w14:textId="77777777" w:rsidTr="001B1081">
        <w:tc>
          <w:tcPr>
            <w:tcW w:w="3848" w:type="dxa"/>
            <w:noWrap/>
          </w:tcPr>
          <w:p w14:paraId="706B9432" w14:textId="77777777" w:rsidR="004D6A4B" w:rsidRPr="00920901" w:rsidRDefault="004D6A4B" w:rsidP="00004664">
            <w:pPr>
              <w:spacing w:line="264" w:lineRule="auto"/>
              <w:rPr>
                <w:b/>
                <w:bCs/>
              </w:rPr>
            </w:pPr>
            <w:r>
              <w:rPr>
                <w:b/>
                <w:bCs/>
              </w:rPr>
              <w:t xml:space="preserve">Szakbizottsági elfogadás kelte: </w:t>
            </w:r>
          </w:p>
        </w:tc>
        <w:tc>
          <w:tcPr>
            <w:tcW w:w="5390" w:type="dxa"/>
            <w:noWrap/>
          </w:tcPr>
          <w:p w14:paraId="6A212CEF" w14:textId="3961A3F6" w:rsidR="004D6A4B" w:rsidRPr="00920901" w:rsidRDefault="00A26D67" w:rsidP="00004664">
            <w:pPr>
              <w:spacing w:line="264" w:lineRule="auto"/>
              <w:rPr>
                <w:bCs/>
              </w:rPr>
            </w:pPr>
            <w:r>
              <w:t>várhatóan 2018. 10. 18.</w:t>
            </w:r>
          </w:p>
        </w:tc>
      </w:tr>
      <w:tr w:rsidR="004D6A4B" w:rsidRPr="00920901" w14:paraId="29298628" w14:textId="77777777" w:rsidTr="001B1081">
        <w:tc>
          <w:tcPr>
            <w:tcW w:w="3848" w:type="dxa"/>
            <w:noWrap/>
          </w:tcPr>
          <w:p w14:paraId="5F6BA1D1" w14:textId="77777777" w:rsidR="004D6A4B" w:rsidRPr="00920901" w:rsidRDefault="004D6A4B" w:rsidP="00004664">
            <w:pPr>
              <w:spacing w:line="264" w:lineRule="auto"/>
              <w:rPr>
                <w:b/>
                <w:bCs/>
              </w:rPr>
            </w:pPr>
            <w:r>
              <w:rPr>
                <w:b/>
                <w:bCs/>
              </w:rPr>
              <w:t>Szakbizottsági szavazás eredménye:</w:t>
            </w:r>
          </w:p>
          <w:p w14:paraId="3F2BC756" w14:textId="77777777" w:rsidR="004D6A4B" w:rsidRPr="00920901" w:rsidRDefault="004D6A4B" w:rsidP="00004664">
            <w:pPr>
              <w:spacing w:line="264" w:lineRule="auto"/>
              <w:rPr>
                <w:b/>
                <w:bCs/>
              </w:rPr>
            </w:pPr>
            <w:r>
              <w:rPr>
                <w:b/>
                <w:bCs/>
              </w:rPr>
              <w:t>(szavazattöbbséggel/egyhangúlag elfogadva)</w:t>
            </w:r>
          </w:p>
        </w:tc>
        <w:tc>
          <w:tcPr>
            <w:tcW w:w="5390" w:type="dxa"/>
            <w:noWrap/>
          </w:tcPr>
          <w:p w14:paraId="0D8B041D" w14:textId="2B7FD399" w:rsidR="004D6A4B" w:rsidRPr="00920901" w:rsidRDefault="004D6A4B" w:rsidP="00004664">
            <w:pPr>
              <w:spacing w:line="264" w:lineRule="auto"/>
              <w:rPr>
                <w:bCs/>
              </w:rPr>
            </w:pPr>
          </w:p>
        </w:tc>
      </w:tr>
      <w:tr w:rsidR="004D6A4B" w:rsidRPr="00920901" w14:paraId="44E9C449" w14:textId="77777777" w:rsidTr="001B1081">
        <w:tc>
          <w:tcPr>
            <w:tcW w:w="3848" w:type="dxa"/>
            <w:noWrap/>
          </w:tcPr>
          <w:p w14:paraId="390C7A28" w14:textId="77777777" w:rsidR="004D6A4B" w:rsidRPr="00920901" w:rsidRDefault="004D6A4B" w:rsidP="00004664">
            <w:pPr>
              <w:spacing w:line="264" w:lineRule="auto"/>
              <w:rPr>
                <w:b/>
                <w:bCs/>
              </w:rPr>
            </w:pPr>
            <w:r>
              <w:rPr>
                <w:b/>
                <w:bCs/>
              </w:rPr>
              <w:t xml:space="preserve">Plenáris ülésen történő elfogadás kelte: </w:t>
            </w:r>
          </w:p>
        </w:tc>
        <w:tc>
          <w:tcPr>
            <w:tcW w:w="5390" w:type="dxa"/>
            <w:noWrap/>
          </w:tcPr>
          <w:p w14:paraId="2EB73144" w14:textId="71DBDB3F" w:rsidR="004D6A4B" w:rsidRPr="00920901" w:rsidRDefault="00A26D67" w:rsidP="00004664">
            <w:pPr>
              <w:spacing w:line="264" w:lineRule="auto"/>
              <w:rPr>
                <w:bCs/>
              </w:rPr>
            </w:pPr>
            <w:r>
              <w:t>várhatóan 2018. december 5–6.</w:t>
            </w:r>
          </w:p>
        </w:tc>
      </w:tr>
      <w:tr w:rsidR="004D6A4B" w:rsidRPr="00920901" w14:paraId="3B178534" w14:textId="77777777" w:rsidTr="007932A0">
        <w:trPr>
          <w:trHeight w:val="3339"/>
        </w:trPr>
        <w:tc>
          <w:tcPr>
            <w:tcW w:w="3848" w:type="dxa"/>
            <w:noWrap/>
          </w:tcPr>
          <w:p w14:paraId="571C0267" w14:textId="77777777" w:rsidR="004D6A4B" w:rsidRPr="00920901" w:rsidRDefault="004D6A4B" w:rsidP="00004664">
            <w:pPr>
              <w:spacing w:line="264" w:lineRule="auto"/>
              <w:rPr>
                <w:b/>
                <w:bCs/>
              </w:rPr>
            </w:pPr>
            <w:r>
              <w:rPr>
                <w:b/>
                <w:bCs/>
              </w:rPr>
              <w:t xml:space="preserve">Korábbi RB-vélemények: </w:t>
            </w:r>
          </w:p>
        </w:tc>
        <w:tc>
          <w:tcPr>
            <w:tcW w:w="5390" w:type="dxa"/>
            <w:noWrap/>
          </w:tcPr>
          <w:p w14:paraId="0E7BA348" w14:textId="75B7CE60" w:rsidR="007932A0" w:rsidRPr="00920901" w:rsidRDefault="007932A0" w:rsidP="00004664">
            <w:pPr>
              <w:spacing w:line="264" w:lineRule="auto"/>
              <w:rPr>
                <w:bCs/>
                <w:i/>
              </w:rPr>
            </w:pPr>
            <w:r>
              <w:rPr>
                <w:bCs/>
                <w:i/>
              </w:rPr>
              <w:t>Az európai identitás megerősítése az oktatás és a kultúra révén</w:t>
            </w:r>
            <w:r w:rsidRPr="00004664">
              <w:rPr>
                <w:bCs/>
                <w:sz w:val="24"/>
                <w:szCs w:val="24"/>
                <w:vertAlign w:val="superscript"/>
              </w:rPr>
              <w:footnoteReference w:id="3"/>
            </w:r>
          </w:p>
          <w:p w14:paraId="604BA56F" w14:textId="7F37E44E" w:rsidR="007932A0" w:rsidRPr="00920901" w:rsidRDefault="007932A0" w:rsidP="00004664">
            <w:pPr>
              <w:spacing w:line="264" w:lineRule="auto"/>
              <w:rPr>
                <w:bCs/>
                <w:i/>
              </w:rPr>
            </w:pPr>
            <w:r>
              <w:rPr>
                <w:bCs/>
                <w:i/>
              </w:rPr>
              <w:t>Az iskolai és a felsőoktatás korszerűsítése</w:t>
            </w:r>
            <w:r w:rsidRPr="00004664">
              <w:rPr>
                <w:bCs/>
                <w:sz w:val="24"/>
                <w:szCs w:val="24"/>
                <w:vertAlign w:val="superscript"/>
              </w:rPr>
              <w:footnoteReference w:id="4"/>
            </w:r>
          </w:p>
          <w:p w14:paraId="701685E2" w14:textId="2FCA5BF2" w:rsidR="007932A0" w:rsidRPr="00920901" w:rsidRDefault="007932A0" w:rsidP="00004664">
            <w:pPr>
              <w:spacing w:line="264" w:lineRule="auto"/>
              <w:rPr>
                <w:bCs/>
                <w:i/>
              </w:rPr>
            </w:pPr>
            <w:r>
              <w:rPr>
                <w:bCs/>
                <w:i/>
              </w:rPr>
              <w:t>Befektetés az európai ifjúságba és az Európai Szolidaritási Testület</w:t>
            </w:r>
            <w:r w:rsidRPr="00004664">
              <w:rPr>
                <w:bCs/>
                <w:sz w:val="24"/>
                <w:szCs w:val="24"/>
                <w:vertAlign w:val="superscript"/>
              </w:rPr>
              <w:footnoteReference w:id="5"/>
            </w:r>
          </w:p>
          <w:p w14:paraId="215325C8" w14:textId="0C0D712C" w:rsidR="00FF0472" w:rsidRPr="00920901" w:rsidRDefault="00FF0472" w:rsidP="00004664">
            <w:pPr>
              <w:spacing w:line="264" w:lineRule="auto"/>
              <w:rPr>
                <w:bCs/>
                <w:i/>
              </w:rPr>
            </w:pPr>
            <w:r>
              <w:rPr>
                <w:bCs/>
                <w:i/>
              </w:rPr>
              <w:t>Az ifjúságpolitika terén folytatott európai együttműködés (2010–2018)</w:t>
            </w:r>
            <w:r w:rsidRPr="00004664">
              <w:rPr>
                <w:bCs/>
                <w:sz w:val="24"/>
                <w:szCs w:val="24"/>
                <w:vertAlign w:val="superscript"/>
              </w:rPr>
              <w:footnoteReference w:id="6"/>
            </w:r>
            <w:r>
              <w:t xml:space="preserve"> </w:t>
            </w:r>
          </w:p>
          <w:p w14:paraId="4223935E" w14:textId="5DFB4831" w:rsidR="007932A0" w:rsidRPr="00920901" w:rsidRDefault="008819A4" w:rsidP="00004664">
            <w:pPr>
              <w:spacing w:line="264" w:lineRule="auto"/>
              <w:rPr>
                <w:bCs/>
                <w:i/>
              </w:rPr>
            </w:pPr>
            <w:r>
              <w:rPr>
                <w:bCs/>
                <w:i/>
              </w:rPr>
              <w:t>A tagállamok foglalkoztatáspolitikáira vonatkozó iránymutatások</w:t>
            </w:r>
            <w:r w:rsidRPr="00004664">
              <w:rPr>
                <w:bCs/>
                <w:sz w:val="24"/>
                <w:szCs w:val="24"/>
                <w:vertAlign w:val="superscript"/>
              </w:rPr>
              <w:footnoteReference w:id="7"/>
            </w:r>
          </w:p>
          <w:p w14:paraId="1FEC80F4" w14:textId="28DA6902" w:rsidR="008819A4" w:rsidRPr="00920901" w:rsidRDefault="008819A4" w:rsidP="00004664">
            <w:pPr>
              <w:spacing w:line="264" w:lineRule="auto"/>
              <w:rPr>
                <w:bCs/>
                <w:i/>
              </w:rPr>
            </w:pPr>
            <w:r>
              <w:rPr>
                <w:bCs/>
                <w:i/>
              </w:rPr>
              <w:t>A szakmai gyakorlatok minőségi keretrendszere</w:t>
            </w:r>
            <w:r w:rsidRPr="00004664">
              <w:rPr>
                <w:bCs/>
                <w:sz w:val="24"/>
                <w:szCs w:val="24"/>
                <w:vertAlign w:val="superscript"/>
              </w:rPr>
              <w:footnoteReference w:id="8"/>
            </w:r>
          </w:p>
          <w:p w14:paraId="66E22FDD" w14:textId="3A995EE6" w:rsidR="008819A4" w:rsidRPr="00920901" w:rsidRDefault="008819A4" w:rsidP="00004664">
            <w:pPr>
              <w:spacing w:line="264" w:lineRule="auto"/>
              <w:rPr>
                <w:bCs/>
                <w:i/>
              </w:rPr>
            </w:pPr>
            <w:r>
              <w:rPr>
                <w:bCs/>
                <w:i/>
              </w:rPr>
              <w:t>A fiatalok foglalkoztatásával foglalkozó jogszabálycsomag</w:t>
            </w:r>
            <w:r w:rsidRPr="00004664">
              <w:rPr>
                <w:bCs/>
                <w:sz w:val="24"/>
                <w:szCs w:val="24"/>
                <w:vertAlign w:val="superscript"/>
              </w:rPr>
              <w:footnoteReference w:id="9"/>
            </w:r>
          </w:p>
          <w:p w14:paraId="2BDBDAA3" w14:textId="68EF2CDF" w:rsidR="00E825AE" w:rsidRPr="00920901" w:rsidRDefault="00E825AE" w:rsidP="00004664">
            <w:pPr>
              <w:spacing w:line="264" w:lineRule="auto"/>
              <w:rPr>
                <w:bCs/>
                <w:i/>
              </w:rPr>
            </w:pPr>
            <w:r>
              <w:rPr>
                <w:bCs/>
                <w:i/>
              </w:rPr>
              <w:t>Gondoljuk újra az oktatást</w:t>
            </w:r>
            <w:r w:rsidRPr="00004664">
              <w:rPr>
                <w:bCs/>
                <w:sz w:val="24"/>
                <w:szCs w:val="24"/>
                <w:vertAlign w:val="superscript"/>
              </w:rPr>
              <w:footnoteReference w:id="10"/>
            </w:r>
          </w:p>
          <w:p w14:paraId="68951A1C" w14:textId="0ADD5AC0" w:rsidR="00E825AE" w:rsidRPr="00920901" w:rsidRDefault="002D6FAC" w:rsidP="00004664">
            <w:pPr>
              <w:spacing w:line="264" w:lineRule="auto"/>
              <w:rPr>
                <w:bCs/>
              </w:rPr>
            </w:pPr>
            <w:r>
              <w:rPr>
                <w:bCs/>
                <w:i/>
              </w:rPr>
              <w:t>Erasmus mindenkinek</w:t>
            </w:r>
            <w:r w:rsidR="00E825AE" w:rsidRPr="00004664">
              <w:rPr>
                <w:bCs/>
                <w:sz w:val="24"/>
                <w:szCs w:val="24"/>
                <w:vertAlign w:val="superscript"/>
              </w:rPr>
              <w:footnoteReference w:id="11"/>
            </w:r>
          </w:p>
        </w:tc>
      </w:tr>
      <w:tr w:rsidR="004D6A4B" w:rsidRPr="00920901" w14:paraId="152C1D21" w14:textId="77777777" w:rsidTr="001B1081">
        <w:tc>
          <w:tcPr>
            <w:tcW w:w="3848" w:type="dxa"/>
            <w:tcBorders>
              <w:top w:val="single" w:sz="4" w:space="0" w:color="auto"/>
              <w:left w:val="single" w:sz="4" w:space="0" w:color="auto"/>
              <w:bottom w:val="single" w:sz="4" w:space="0" w:color="auto"/>
              <w:right w:val="single" w:sz="4" w:space="0" w:color="auto"/>
            </w:tcBorders>
            <w:shd w:val="clear" w:color="auto" w:fill="auto"/>
            <w:noWrap/>
          </w:tcPr>
          <w:p w14:paraId="105DFE5A" w14:textId="77777777" w:rsidR="004D6A4B" w:rsidRPr="00920901" w:rsidRDefault="004D6A4B" w:rsidP="00004664">
            <w:pPr>
              <w:spacing w:line="264" w:lineRule="auto"/>
              <w:jc w:val="left"/>
              <w:rPr>
                <w:b/>
                <w:bCs/>
              </w:rPr>
            </w:pPr>
            <w:r>
              <w:rPr>
                <w:b/>
                <w:bCs/>
              </w:rPr>
              <w:t>A szubszidiaritás-ellenőrzési hálózattal folytatott konzultáció időpontja:</w:t>
            </w:r>
          </w:p>
        </w:tc>
        <w:tc>
          <w:tcPr>
            <w:tcW w:w="5390" w:type="dxa"/>
            <w:tcBorders>
              <w:top w:val="single" w:sz="4" w:space="0" w:color="auto"/>
              <w:left w:val="single" w:sz="4" w:space="0" w:color="auto"/>
              <w:bottom w:val="single" w:sz="4" w:space="0" w:color="auto"/>
              <w:right w:val="single" w:sz="4" w:space="0" w:color="auto"/>
            </w:tcBorders>
            <w:shd w:val="clear" w:color="auto" w:fill="auto"/>
            <w:noWrap/>
          </w:tcPr>
          <w:p w14:paraId="00F369BD" w14:textId="0AFF214E" w:rsidR="004D6A4B" w:rsidRPr="00920901" w:rsidRDefault="004D6A4B" w:rsidP="00004664">
            <w:pPr>
              <w:spacing w:line="264" w:lineRule="auto"/>
              <w:rPr>
                <w:bCs/>
              </w:rPr>
            </w:pPr>
            <w:r>
              <w:t xml:space="preserve">– </w:t>
            </w:r>
          </w:p>
        </w:tc>
      </w:tr>
    </w:tbl>
    <w:p w14:paraId="2CF21915" w14:textId="77777777" w:rsidR="002F7D93" w:rsidRPr="00920901" w:rsidRDefault="002F7D93" w:rsidP="0081450B">
      <w:pPr>
        <w:jc w:val="center"/>
      </w:pPr>
      <w:r>
        <w:t>_____________</w:t>
      </w:r>
    </w:p>
    <w:sectPr w:rsidR="002F7D93" w:rsidRPr="00920901" w:rsidSect="007D4838">
      <w:headerReference w:type="even" r:id="rId18"/>
      <w:headerReference w:type="default" r:id="rId19"/>
      <w:footerReference w:type="even" r:id="rId20"/>
      <w:footerReference w:type="default" r:id="rId21"/>
      <w:headerReference w:type="first" r:id="rId22"/>
      <w:footerReference w:type="first" r:id="rId23"/>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89D1D" w14:textId="77777777" w:rsidR="001E10E0" w:rsidRDefault="001E10E0">
      <w:r>
        <w:separator/>
      </w:r>
    </w:p>
  </w:endnote>
  <w:endnote w:type="continuationSeparator" w:id="0">
    <w:p w14:paraId="15A2677C" w14:textId="77777777" w:rsidR="001E10E0" w:rsidRDefault="001E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A1535" w14:textId="09631EA3" w:rsidR="004F45FC" w:rsidRPr="007D4838" w:rsidRDefault="007D4838" w:rsidP="007D4838">
    <w:pPr>
      <w:pStyle w:val="Footer"/>
    </w:pPr>
    <w:r>
      <w:t xml:space="preserve">COR-2018-03892-00-01-PA-TRA (IT) </w:t>
    </w:r>
    <w:r>
      <w:fldChar w:fldCharType="begin"/>
    </w:r>
    <w:r>
      <w:instrText xml:space="preserve"> PAGE  \* Arabic  \* MERGEFORMAT </w:instrText>
    </w:r>
    <w:r>
      <w:fldChar w:fldCharType="separate"/>
    </w:r>
    <w:r w:rsidR="006C7A92">
      <w:rPr>
        <w:noProof/>
      </w:rPr>
      <w:t>1</w:t>
    </w:r>
    <w:r>
      <w:fldChar w:fldCharType="end"/>
    </w:r>
    <w:r>
      <w:t>/</w:t>
    </w:r>
    <w:r>
      <w:fldChar w:fldCharType="begin"/>
    </w:r>
    <w:r>
      <w:instrText xml:space="preserve"> = </w:instrText>
    </w:r>
    <w:r w:rsidR="006C7A92">
      <w:fldChar w:fldCharType="begin"/>
    </w:r>
    <w:r w:rsidR="006C7A92">
      <w:instrText xml:space="preserve"> NUMPAGES </w:instrText>
    </w:r>
    <w:r w:rsidR="006C7A92">
      <w:fldChar w:fldCharType="separate"/>
    </w:r>
    <w:r w:rsidR="006C7A92">
      <w:rPr>
        <w:noProof/>
      </w:rPr>
      <w:instrText>3</w:instrText>
    </w:r>
    <w:r w:rsidR="006C7A92">
      <w:fldChar w:fldCharType="end"/>
    </w:r>
    <w:r>
      <w:instrText xml:space="preserve"> </w:instrText>
    </w:r>
    <w:r>
      <w:fldChar w:fldCharType="separate"/>
    </w:r>
    <w:r w:rsidR="006C7A9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046DC" w14:textId="77777777" w:rsidR="004F45FC" w:rsidRPr="007D4838" w:rsidRDefault="004F45FC" w:rsidP="007D48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2FF19" w14:textId="6696FC6B" w:rsidR="004F45FC" w:rsidRPr="007D4838" w:rsidRDefault="007D4838" w:rsidP="007D4838">
    <w:pPr>
      <w:pStyle w:val="Footer"/>
    </w:pPr>
    <w:r>
      <w:t xml:space="preserve">COR-2018-03892-00-01-PA-TRA (IT) </w:t>
    </w:r>
    <w:r>
      <w:fldChar w:fldCharType="begin"/>
    </w:r>
    <w:r>
      <w:instrText xml:space="preserve"> PAGE  \* Arabic  \* MERGEFORMAT </w:instrText>
    </w:r>
    <w:r>
      <w:fldChar w:fldCharType="separate"/>
    </w:r>
    <w:r w:rsidR="006C7A92">
      <w:rPr>
        <w:noProof/>
      </w:rPr>
      <w:t>2</w:t>
    </w:r>
    <w:r>
      <w:fldChar w:fldCharType="end"/>
    </w:r>
    <w:r>
      <w:t>/</w:t>
    </w:r>
    <w:r>
      <w:fldChar w:fldCharType="begin"/>
    </w:r>
    <w:r>
      <w:instrText xml:space="preserve"> = </w:instrText>
    </w:r>
    <w:r w:rsidR="006C7A92">
      <w:fldChar w:fldCharType="begin"/>
    </w:r>
    <w:r w:rsidR="006C7A92">
      <w:instrText xml:space="preserve"> NUMPAGES </w:instrText>
    </w:r>
    <w:r w:rsidR="006C7A92">
      <w:fldChar w:fldCharType="separate"/>
    </w:r>
    <w:r w:rsidR="006C7A92">
      <w:rPr>
        <w:noProof/>
      </w:rPr>
      <w:instrText>2</w:instrText>
    </w:r>
    <w:r w:rsidR="006C7A92">
      <w:fldChar w:fldCharType="end"/>
    </w:r>
    <w:r>
      <w:instrText xml:space="preserve"> </w:instrText>
    </w:r>
    <w:r>
      <w:fldChar w:fldCharType="separate"/>
    </w:r>
    <w:r w:rsidR="006C7A92">
      <w:rPr>
        <w:noProof/>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FA542" w14:textId="77777777" w:rsidR="004F45FC" w:rsidRPr="007D4838" w:rsidRDefault="004F45FC" w:rsidP="007D4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C270A" w14:textId="77777777" w:rsidR="001E10E0" w:rsidRDefault="001E10E0">
      <w:r>
        <w:separator/>
      </w:r>
    </w:p>
  </w:footnote>
  <w:footnote w:type="continuationSeparator" w:id="0">
    <w:p w14:paraId="372F78A5" w14:textId="77777777" w:rsidR="001E10E0" w:rsidRDefault="001E10E0">
      <w:r>
        <w:continuationSeparator/>
      </w:r>
    </w:p>
  </w:footnote>
  <w:footnote w:id="1">
    <w:p w14:paraId="00AD2790" w14:textId="4778FA94" w:rsidR="004F45FC" w:rsidRPr="009D63D8" w:rsidRDefault="004F45FC" w:rsidP="00AF6796">
      <w:pPr>
        <w:pStyle w:val="FootnoteText"/>
      </w:pPr>
      <w:r w:rsidRPr="009D63D8">
        <w:rPr>
          <w:rStyle w:val="FootnoteReference"/>
        </w:rPr>
        <w:footnoteRef/>
      </w:r>
      <w:r>
        <w:t xml:space="preserve"> </w:t>
      </w:r>
      <w:r>
        <w:tab/>
        <w:t>Friss példával szolgál erre az olaszországi Lombardia régió, ahol az ifjúsági területen sikeresen népszerűsítettek olyan kezdeményezéseket, melyek szolidaritási szempontból értékes sporttevékenységeket támogatnak (lásd: Lega Civica).</w:t>
      </w:r>
    </w:p>
  </w:footnote>
  <w:footnote w:id="2">
    <w:p w14:paraId="557852F0" w14:textId="4FD46919" w:rsidR="004F45FC" w:rsidRPr="001A671F" w:rsidRDefault="004F45FC">
      <w:pPr>
        <w:pStyle w:val="FootnoteText"/>
      </w:pPr>
      <w:r w:rsidRPr="001A671F">
        <w:rPr>
          <w:rStyle w:val="FootnoteReference"/>
        </w:rPr>
        <w:footnoteRef/>
      </w:r>
      <w:r>
        <w:t xml:space="preserve"> </w:t>
      </w:r>
      <w:r>
        <w:tab/>
      </w:r>
      <w:hyperlink r:id="rId1" w:history="1">
        <w:r>
          <w:rPr>
            <w:rStyle w:val="Hyperlink"/>
          </w:rPr>
          <w:t>http://data.consilium.europa.eu/doc/document/ST-6779-2018-INIT/en/pdf</w:t>
        </w:r>
      </w:hyperlink>
      <w:r>
        <w:t xml:space="preserve">. </w:t>
      </w:r>
    </w:p>
  </w:footnote>
  <w:footnote w:id="3">
    <w:p w14:paraId="7669A484" w14:textId="61540F39" w:rsidR="004F45FC" w:rsidRPr="001A671F" w:rsidRDefault="004F45FC" w:rsidP="00004664">
      <w:pPr>
        <w:pStyle w:val="FootnoteText"/>
        <w:tabs>
          <w:tab w:val="left" w:pos="567"/>
        </w:tabs>
        <w:spacing w:after="0"/>
      </w:pPr>
      <w:r w:rsidRPr="001A671F">
        <w:rPr>
          <w:rStyle w:val="FootnoteReference"/>
        </w:rPr>
        <w:footnoteRef/>
      </w:r>
      <w:r>
        <w:tab/>
        <w:t>CdR 2017/6048.</w:t>
      </w:r>
    </w:p>
  </w:footnote>
  <w:footnote w:id="4">
    <w:p w14:paraId="51167F38" w14:textId="70D8E734" w:rsidR="004F45FC" w:rsidRPr="001A671F" w:rsidRDefault="004F45FC" w:rsidP="00004664">
      <w:pPr>
        <w:pStyle w:val="FootnoteText"/>
        <w:tabs>
          <w:tab w:val="left" w:pos="567"/>
        </w:tabs>
        <w:spacing w:after="0"/>
      </w:pPr>
      <w:r w:rsidRPr="001A671F">
        <w:rPr>
          <w:rStyle w:val="FootnoteReference"/>
        </w:rPr>
        <w:footnoteRef/>
      </w:r>
      <w:r>
        <w:tab/>
        <w:t>CdR 2017/3139.</w:t>
      </w:r>
    </w:p>
  </w:footnote>
  <w:footnote w:id="5">
    <w:p w14:paraId="2B1B221E" w14:textId="4C2AAC80" w:rsidR="004F45FC" w:rsidRPr="001A671F" w:rsidRDefault="004F45FC" w:rsidP="00004664">
      <w:pPr>
        <w:pStyle w:val="FootnoteText"/>
        <w:tabs>
          <w:tab w:val="left" w:pos="567"/>
        </w:tabs>
        <w:spacing w:after="0"/>
      </w:pPr>
      <w:r w:rsidRPr="001A671F">
        <w:rPr>
          <w:rStyle w:val="FootnoteReference"/>
        </w:rPr>
        <w:footnoteRef/>
      </w:r>
      <w:r>
        <w:tab/>
        <w:t>CdR 2017/851.</w:t>
      </w:r>
    </w:p>
  </w:footnote>
  <w:footnote w:id="6">
    <w:p w14:paraId="0DDD1ABD" w14:textId="1C289906" w:rsidR="004F45FC" w:rsidRPr="001A671F" w:rsidRDefault="004F45FC" w:rsidP="00004664">
      <w:pPr>
        <w:pStyle w:val="FootnoteText"/>
        <w:tabs>
          <w:tab w:val="left" w:pos="567"/>
        </w:tabs>
        <w:spacing w:after="0"/>
      </w:pPr>
      <w:r w:rsidRPr="001A671F">
        <w:rPr>
          <w:rStyle w:val="FootnoteReference"/>
        </w:rPr>
        <w:footnoteRef/>
      </w:r>
      <w:r>
        <w:tab/>
        <w:t>CdR 2015/4872.</w:t>
      </w:r>
    </w:p>
  </w:footnote>
  <w:footnote w:id="7">
    <w:p w14:paraId="53536785" w14:textId="5C832B95" w:rsidR="004F45FC" w:rsidRPr="001A671F" w:rsidRDefault="004F45FC" w:rsidP="00004664">
      <w:pPr>
        <w:pStyle w:val="FootnoteText"/>
        <w:tabs>
          <w:tab w:val="left" w:pos="567"/>
        </w:tabs>
        <w:spacing w:after="0"/>
      </w:pPr>
      <w:r w:rsidRPr="001A671F">
        <w:rPr>
          <w:rStyle w:val="FootnoteReference"/>
        </w:rPr>
        <w:footnoteRef/>
      </w:r>
      <w:r>
        <w:tab/>
        <w:t>CdR 2015-1419.</w:t>
      </w:r>
    </w:p>
  </w:footnote>
  <w:footnote w:id="8">
    <w:p w14:paraId="200C95BC" w14:textId="2F2BDA02" w:rsidR="004F45FC" w:rsidRPr="001A671F" w:rsidRDefault="004F45FC" w:rsidP="00004664">
      <w:pPr>
        <w:pStyle w:val="FootnoteText"/>
        <w:tabs>
          <w:tab w:val="left" w:pos="567"/>
        </w:tabs>
        <w:spacing w:after="0"/>
      </w:pPr>
      <w:r w:rsidRPr="001A671F">
        <w:rPr>
          <w:rStyle w:val="FootnoteReference"/>
        </w:rPr>
        <w:footnoteRef/>
      </w:r>
      <w:r>
        <w:tab/>
        <w:t>CdR 2014-111.</w:t>
      </w:r>
    </w:p>
  </w:footnote>
  <w:footnote w:id="9">
    <w:p w14:paraId="7739C4D3" w14:textId="40574143" w:rsidR="004F45FC" w:rsidRPr="001A671F" w:rsidRDefault="004F45FC" w:rsidP="00004664">
      <w:pPr>
        <w:pStyle w:val="FootnoteText"/>
        <w:tabs>
          <w:tab w:val="left" w:pos="567"/>
        </w:tabs>
        <w:spacing w:after="0"/>
      </w:pPr>
      <w:r w:rsidRPr="001A671F">
        <w:rPr>
          <w:rStyle w:val="FootnoteReference"/>
        </w:rPr>
        <w:footnoteRef/>
      </w:r>
      <w:r>
        <w:tab/>
        <w:t>CdR 789/2013.</w:t>
      </w:r>
    </w:p>
  </w:footnote>
  <w:footnote w:id="10">
    <w:p w14:paraId="46E4416F" w14:textId="6E6F8C91" w:rsidR="004F45FC" w:rsidRPr="001A671F" w:rsidRDefault="004F45FC" w:rsidP="00004664">
      <w:pPr>
        <w:pStyle w:val="FootnoteText"/>
        <w:tabs>
          <w:tab w:val="left" w:pos="567"/>
        </w:tabs>
        <w:spacing w:after="0"/>
      </w:pPr>
      <w:r w:rsidRPr="001A671F">
        <w:rPr>
          <w:rStyle w:val="FootnoteReference"/>
        </w:rPr>
        <w:footnoteRef/>
      </w:r>
      <w:r>
        <w:tab/>
        <w:t>CdR 2392/2012.</w:t>
      </w:r>
    </w:p>
  </w:footnote>
  <w:footnote w:id="11">
    <w:p w14:paraId="6136137D" w14:textId="48707FBA" w:rsidR="004F45FC" w:rsidRPr="001A671F" w:rsidRDefault="004F45FC" w:rsidP="00004664">
      <w:pPr>
        <w:pStyle w:val="FootnoteText"/>
        <w:tabs>
          <w:tab w:val="left" w:pos="567"/>
        </w:tabs>
        <w:spacing w:after="0"/>
      </w:pPr>
      <w:r w:rsidRPr="001A671F">
        <w:rPr>
          <w:rStyle w:val="FootnoteReference"/>
        </w:rPr>
        <w:footnoteRef/>
      </w:r>
      <w:r>
        <w:tab/>
        <w:t>CdR 400/2011.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34A1F" w14:textId="77777777" w:rsidR="004F45FC" w:rsidRPr="007D4838" w:rsidRDefault="004F45FC" w:rsidP="007D48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AB7E3" w14:textId="1BE618A0" w:rsidR="004F45FC" w:rsidRPr="007D4838" w:rsidRDefault="004F45FC" w:rsidP="007D48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436D6" w14:textId="77777777" w:rsidR="004F45FC" w:rsidRPr="007D4838" w:rsidRDefault="004F45FC" w:rsidP="007D48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15470695"/>
    <w:multiLevelType w:val="hybridMultilevel"/>
    <w:tmpl w:val="4AD093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3">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585575"/>
    <w:multiLevelType w:val="hybridMultilevel"/>
    <w:tmpl w:val="4DAAD94E"/>
    <w:lvl w:ilvl="0" w:tplc="568EF0E6">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2B1CC6"/>
    <w:multiLevelType w:val="multilevel"/>
    <w:tmpl w:val="2C808B1C"/>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8">
    <w:nsid w:val="2D641C87"/>
    <w:multiLevelType w:val="multilevel"/>
    <w:tmpl w:val="45ECFFBC"/>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9">
    <w:nsid w:val="35734D4E"/>
    <w:multiLevelType w:val="hybridMultilevel"/>
    <w:tmpl w:val="B96268D4"/>
    <w:lvl w:ilvl="0" w:tplc="C6E82CF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86D634D"/>
    <w:multiLevelType w:val="multilevel"/>
    <w:tmpl w:val="7EB42040"/>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1">
    <w:nsid w:val="387E071F"/>
    <w:multiLevelType w:val="singleLevel"/>
    <w:tmpl w:val="1D383FF0"/>
    <w:lvl w:ilvl="0">
      <w:start w:val="1"/>
      <w:numFmt w:val="bullet"/>
      <w:lvlText w:val=""/>
      <w:lvlJc w:val="left"/>
      <w:pPr>
        <w:ind w:left="720" w:hanging="360"/>
      </w:pPr>
      <w:rPr>
        <w:rFonts w:ascii="Symbol" w:hAnsi="Symbol" w:hint="default"/>
      </w:rPr>
    </w:lvl>
  </w:abstractNum>
  <w:abstractNum w:abstractNumId="12">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DF2159"/>
    <w:multiLevelType w:val="hybridMultilevel"/>
    <w:tmpl w:val="F468004C"/>
    <w:lvl w:ilvl="0" w:tplc="89AC0D1E">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F40393"/>
    <w:multiLevelType w:val="hybridMultilevel"/>
    <w:tmpl w:val="85801D80"/>
    <w:lvl w:ilvl="0" w:tplc="83447096">
      <w:start w:val="1"/>
      <w:numFmt w:val="upperRoman"/>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F03E07"/>
    <w:multiLevelType w:val="hybridMultilevel"/>
    <w:tmpl w:val="B11027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1C40B6"/>
    <w:multiLevelType w:val="hybridMultilevel"/>
    <w:tmpl w:val="879283B2"/>
    <w:lvl w:ilvl="0" w:tplc="B9AA302E">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BE5485"/>
    <w:multiLevelType w:val="hybridMultilevel"/>
    <w:tmpl w:val="AE6AB424"/>
    <w:lvl w:ilvl="0" w:tplc="7A602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AF67705"/>
    <w:multiLevelType w:val="multilevel"/>
    <w:tmpl w:val="ADFAC0E4"/>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5">
    <w:nsid w:val="7DCE0951"/>
    <w:multiLevelType w:val="hybridMultilevel"/>
    <w:tmpl w:val="F2F66D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2"/>
  </w:num>
  <w:num w:numId="3">
    <w:abstractNumId w:val="23"/>
  </w:num>
  <w:num w:numId="4">
    <w:abstractNumId w:val="13"/>
  </w:num>
  <w:num w:numId="5">
    <w:abstractNumId w:val="15"/>
  </w:num>
  <w:num w:numId="6">
    <w:abstractNumId w:val="6"/>
  </w:num>
  <w:num w:numId="7">
    <w:abstractNumId w:val="3"/>
  </w:num>
  <w:num w:numId="8">
    <w:abstractNumId w:val="21"/>
  </w:num>
  <w:num w:numId="9">
    <w:abstractNumId w:val="17"/>
  </w:num>
  <w:num w:numId="10">
    <w:abstractNumId w:val="19"/>
  </w:num>
  <w:num w:numId="11">
    <w:abstractNumId w:val="4"/>
  </w:num>
  <w:num w:numId="12">
    <w:abstractNumId w:val="16"/>
  </w:num>
  <w:num w:numId="13">
    <w:abstractNumId w:val="25"/>
  </w:num>
  <w:num w:numId="14">
    <w:abstractNumId w:val="5"/>
  </w:num>
  <w:num w:numId="15">
    <w:abstractNumId w:val="11"/>
  </w:num>
  <w:num w:numId="16">
    <w:abstractNumId w:val="20"/>
  </w:num>
  <w:num w:numId="17">
    <w:abstractNumId w:val="18"/>
  </w:num>
  <w:num w:numId="18">
    <w:abstractNumId w:val="9"/>
  </w:num>
  <w:num w:numId="19">
    <w:abstractNumId w:val="0"/>
  </w:num>
  <w:num w:numId="20">
    <w:abstractNumId w:val="0"/>
  </w:num>
  <w:num w:numId="21">
    <w:abstractNumId w:val="14"/>
  </w:num>
  <w:num w:numId="22">
    <w:abstractNumId w:val="0"/>
  </w:num>
  <w:num w:numId="23">
    <w:abstractNumId w:val="0"/>
  </w:num>
  <w:num w:numId="24">
    <w:abstractNumId w:val="0"/>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3">
      <w:startOverride w:val="1"/>
    </w:lvlOverride>
  </w:num>
  <w:num w:numId="27">
    <w:abstractNumId w:val="2"/>
  </w:num>
  <w:num w:numId="28">
    <w:abstractNumId w:val="24"/>
  </w:num>
  <w:num w:numId="29">
    <w:abstractNumId w:val="7"/>
  </w:num>
  <w:num w:numId="30">
    <w:abstractNumId w:val="10"/>
  </w:num>
  <w:num w:numId="31">
    <w:abstractNumId w:val="8"/>
  </w:num>
  <w:num w:numId="32">
    <w:abstractNumId w:val="22"/>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lib">
    <w15:presenceInfo w15:providerId="None" w15:userId="hli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3A"/>
    <w:rsid w:val="00004664"/>
    <w:rsid w:val="00006CDE"/>
    <w:rsid w:val="00013943"/>
    <w:rsid w:val="00016759"/>
    <w:rsid w:val="0002073C"/>
    <w:rsid w:val="0002170B"/>
    <w:rsid w:val="00025CF1"/>
    <w:rsid w:val="00025D4A"/>
    <w:rsid w:val="00032BCC"/>
    <w:rsid w:val="00046DAE"/>
    <w:rsid w:val="000472D4"/>
    <w:rsid w:val="00047BBE"/>
    <w:rsid w:val="00051FCD"/>
    <w:rsid w:val="00065466"/>
    <w:rsid w:val="00066B4C"/>
    <w:rsid w:val="00067026"/>
    <w:rsid w:val="00075460"/>
    <w:rsid w:val="00080B31"/>
    <w:rsid w:val="0008288A"/>
    <w:rsid w:val="0008690F"/>
    <w:rsid w:val="00092E06"/>
    <w:rsid w:val="0009582F"/>
    <w:rsid w:val="000A64C2"/>
    <w:rsid w:val="000B0449"/>
    <w:rsid w:val="000B1A17"/>
    <w:rsid w:val="000B1D75"/>
    <w:rsid w:val="000B2F63"/>
    <w:rsid w:val="000B511B"/>
    <w:rsid w:val="000C0BAF"/>
    <w:rsid w:val="000D60A0"/>
    <w:rsid w:val="000D6D8F"/>
    <w:rsid w:val="000D6F55"/>
    <w:rsid w:val="000D7C2F"/>
    <w:rsid w:val="000D7FBA"/>
    <w:rsid w:val="000E2060"/>
    <w:rsid w:val="000E3BF2"/>
    <w:rsid w:val="000F1080"/>
    <w:rsid w:val="00106196"/>
    <w:rsid w:val="00110547"/>
    <w:rsid w:val="00113D52"/>
    <w:rsid w:val="00117F06"/>
    <w:rsid w:val="00121D6A"/>
    <w:rsid w:val="00121F43"/>
    <w:rsid w:val="001276C5"/>
    <w:rsid w:val="00130F0C"/>
    <w:rsid w:val="0013287A"/>
    <w:rsid w:val="0013747D"/>
    <w:rsid w:val="00143CA7"/>
    <w:rsid w:val="00164F63"/>
    <w:rsid w:val="00166A06"/>
    <w:rsid w:val="00173E20"/>
    <w:rsid w:val="00177A3A"/>
    <w:rsid w:val="0018272C"/>
    <w:rsid w:val="00184207"/>
    <w:rsid w:val="00186763"/>
    <w:rsid w:val="00187887"/>
    <w:rsid w:val="0019189E"/>
    <w:rsid w:val="001A2BC2"/>
    <w:rsid w:val="001A3A2C"/>
    <w:rsid w:val="001A671F"/>
    <w:rsid w:val="001B1081"/>
    <w:rsid w:val="001B4CED"/>
    <w:rsid w:val="001B59AD"/>
    <w:rsid w:val="001B7B74"/>
    <w:rsid w:val="001C0C2C"/>
    <w:rsid w:val="001C421E"/>
    <w:rsid w:val="001C7DA5"/>
    <w:rsid w:val="001D0E25"/>
    <w:rsid w:val="001D28CC"/>
    <w:rsid w:val="001D3D95"/>
    <w:rsid w:val="001D49D4"/>
    <w:rsid w:val="001D75F5"/>
    <w:rsid w:val="001E10E0"/>
    <w:rsid w:val="001E2395"/>
    <w:rsid w:val="001F0339"/>
    <w:rsid w:val="001F0D5D"/>
    <w:rsid w:val="001F1B07"/>
    <w:rsid w:val="001F231D"/>
    <w:rsid w:val="00204959"/>
    <w:rsid w:val="0021277C"/>
    <w:rsid w:val="002129DB"/>
    <w:rsid w:val="00215F2F"/>
    <w:rsid w:val="00217160"/>
    <w:rsid w:val="002216EE"/>
    <w:rsid w:val="00223C79"/>
    <w:rsid w:val="00223E95"/>
    <w:rsid w:val="00226D1D"/>
    <w:rsid w:val="00230464"/>
    <w:rsid w:val="00231B3A"/>
    <w:rsid w:val="002335E0"/>
    <w:rsid w:val="002336B4"/>
    <w:rsid w:val="0023623E"/>
    <w:rsid w:val="002405D1"/>
    <w:rsid w:val="00241E9A"/>
    <w:rsid w:val="00244F59"/>
    <w:rsid w:val="00245F95"/>
    <w:rsid w:val="00250CCA"/>
    <w:rsid w:val="00252D0B"/>
    <w:rsid w:val="00254236"/>
    <w:rsid w:val="00260F10"/>
    <w:rsid w:val="00261598"/>
    <w:rsid w:val="002669AD"/>
    <w:rsid w:val="00274C4A"/>
    <w:rsid w:val="0028152E"/>
    <w:rsid w:val="00285DD8"/>
    <w:rsid w:val="00291FEE"/>
    <w:rsid w:val="002A1BDF"/>
    <w:rsid w:val="002A31D2"/>
    <w:rsid w:val="002A6639"/>
    <w:rsid w:val="002D08F3"/>
    <w:rsid w:val="002D0D7D"/>
    <w:rsid w:val="002D6782"/>
    <w:rsid w:val="002D6FAC"/>
    <w:rsid w:val="002E3017"/>
    <w:rsid w:val="002E5082"/>
    <w:rsid w:val="002F1B92"/>
    <w:rsid w:val="002F3910"/>
    <w:rsid w:val="002F50A4"/>
    <w:rsid w:val="002F7288"/>
    <w:rsid w:val="002F7D93"/>
    <w:rsid w:val="003008D6"/>
    <w:rsid w:val="00300EB2"/>
    <w:rsid w:val="00305513"/>
    <w:rsid w:val="00306492"/>
    <w:rsid w:val="00306AF9"/>
    <w:rsid w:val="00311DE2"/>
    <w:rsid w:val="00314810"/>
    <w:rsid w:val="00315748"/>
    <w:rsid w:val="00320D0D"/>
    <w:rsid w:val="00321180"/>
    <w:rsid w:val="003215BD"/>
    <w:rsid w:val="003238A5"/>
    <w:rsid w:val="00323CCF"/>
    <w:rsid w:val="003240FA"/>
    <w:rsid w:val="0032457D"/>
    <w:rsid w:val="003318ED"/>
    <w:rsid w:val="00332985"/>
    <w:rsid w:val="00334D33"/>
    <w:rsid w:val="00344C2F"/>
    <w:rsid w:val="0034520C"/>
    <w:rsid w:val="00345895"/>
    <w:rsid w:val="00346895"/>
    <w:rsid w:val="0034710D"/>
    <w:rsid w:val="00353985"/>
    <w:rsid w:val="00355521"/>
    <w:rsid w:val="003608A8"/>
    <w:rsid w:val="00360FA0"/>
    <w:rsid w:val="00361D92"/>
    <w:rsid w:val="00361FED"/>
    <w:rsid w:val="00365A38"/>
    <w:rsid w:val="00371036"/>
    <w:rsid w:val="00377DC1"/>
    <w:rsid w:val="00382E13"/>
    <w:rsid w:val="00384C27"/>
    <w:rsid w:val="00393542"/>
    <w:rsid w:val="00394360"/>
    <w:rsid w:val="003A28E1"/>
    <w:rsid w:val="003B528B"/>
    <w:rsid w:val="003B59DC"/>
    <w:rsid w:val="003C2019"/>
    <w:rsid w:val="003C665B"/>
    <w:rsid w:val="003C77ED"/>
    <w:rsid w:val="003D374D"/>
    <w:rsid w:val="003D771E"/>
    <w:rsid w:val="003F37DB"/>
    <w:rsid w:val="003F6734"/>
    <w:rsid w:val="00402C00"/>
    <w:rsid w:val="00413C54"/>
    <w:rsid w:val="004172EB"/>
    <w:rsid w:val="00423838"/>
    <w:rsid w:val="0042643B"/>
    <w:rsid w:val="0042672F"/>
    <w:rsid w:val="00426F3E"/>
    <w:rsid w:val="004306C1"/>
    <w:rsid w:val="00430DDB"/>
    <w:rsid w:val="004320AF"/>
    <w:rsid w:val="00437A3F"/>
    <w:rsid w:val="00452161"/>
    <w:rsid w:val="00464D14"/>
    <w:rsid w:val="00465964"/>
    <w:rsid w:val="00474CF7"/>
    <w:rsid w:val="0048076C"/>
    <w:rsid w:val="00485B8C"/>
    <w:rsid w:val="0049179D"/>
    <w:rsid w:val="004939EC"/>
    <w:rsid w:val="00497CAF"/>
    <w:rsid w:val="004A011F"/>
    <w:rsid w:val="004A0870"/>
    <w:rsid w:val="004A124B"/>
    <w:rsid w:val="004A25ED"/>
    <w:rsid w:val="004A3EF1"/>
    <w:rsid w:val="004A5D59"/>
    <w:rsid w:val="004A5F1B"/>
    <w:rsid w:val="004B5563"/>
    <w:rsid w:val="004D2676"/>
    <w:rsid w:val="004D3A7C"/>
    <w:rsid w:val="004D5296"/>
    <w:rsid w:val="004D669D"/>
    <w:rsid w:val="004D6A4B"/>
    <w:rsid w:val="004D7905"/>
    <w:rsid w:val="004E6D12"/>
    <w:rsid w:val="004F32B8"/>
    <w:rsid w:val="004F45FC"/>
    <w:rsid w:val="004F4D61"/>
    <w:rsid w:val="004F7B9E"/>
    <w:rsid w:val="005110FF"/>
    <w:rsid w:val="005147A4"/>
    <w:rsid w:val="0051563B"/>
    <w:rsid w:val="00516636"/>
    <w:rsid w:val="00517196"/>
    <w:rsid w:val="00525027"/>
    <w:rsid w:val="00526872"/>
    <w:rsid w:val="00526DFF"/>
    <w:rsid w:val="00531799"/>
    <w:rsid w:val="0053477D"/>
    <w:rsid w:val="0054398E"/>
    <w:rsid w:val="005508DA"/>
    <w:rsid w:val="0056122F"/>
    <w:rsid w:val="005619CD"/>
    <w:rsid w:val="00563C9E"/>
    <w:rsid w:val="00564216"/>
    <w:rsid w:val="00574112"/>
    <w:rsid w:val="00575060"/>
    <w:rsid w:val="00580BDC"/>
    <w:rsid w:val="0058264E"/>
    <w:rsid w:val="005828E0"/>
    <w:rsid w:val="00586367"/>
    <w:rsid w:val="00595C6A"/>
    <w:rsid w:val="00597ACD"/>
    <w:rsid w:val="005A20C2"/>
    <w:rsid w:val="005A3EDC"/>
    <w:rsid w:val="005A5408"/>
    <w:rsid w:val="005A56BE"/>
    <w:rsid w:val="005A7D43"/>
    <w:rsid w:val="005B15B1"/>
    <w:rsid w:val="005B1B40"/>
    <w:rsid w:val="005B1CA4"/>
    <w:rsid w:val="005B372E"/>
    <w:rsid w:val="005B3CA2"/>
    <w:rsid w:val="005B41F4"/>
    <w:rsid w:val="005C271F"/>
    <w:rsid w:val="005C33F7"/>
    <w:rsid w:val="005C6D04"/>
    <w:rsid w:val="005C7527"/>
    <w:rsid w:val="005D3FE9"/>
    <w:rsid w:val="005D4674"/>
    <w:rsid w:val="005D4CC7"/>
    <w:rsid w:val="005D5961"/>
    <w:rsid w:val="005D7CFA"/>
    <w:rsid w:val="005E0C5F"/>
    <w:rsid w:val="005E302F"/>
    <w:rsid w:val="005E68DD"/>
    <w:rsid w:val="005E7689"/>
    <w:rsid w:val="005F12CD"/>
    <w:rsid w:val="005F40AD"/>
    <w:rsid w:val="005F5322"/>
    <w:rsid w:val="00605005"/>
    <w:rsid w:val="00607FF7"/>
    <w:rsid w:val="006145F0"/>
    <w:rsid w:val="006158D7"/>
    <w:rsid w:val="006161A5"/>
    <w:rsid w:val="00616F4C"/>
    <w:rsid w:val="00617569"/>
    <w:rsid w:val="006200E9"/>
    <w:rsid w:val="006209B2"/>
    <w:rsid w:val="00622887"/>
    <w:rsid w:val="006247F8"/>
    <w:rsid w:val="0063563F"/>
    <w:rsid w:val="006405B8"/>
    <w:rsid w:val="00650B89"/>
    <w:rsid w:val="00651C6B"/>
    <w:rsid w:val="00655D49"/>
    <w:rsid w:val="00657589"/>
    <w:rsid w:val="00663CD5"/>
    <w:rsid w:val="0066558E"/>
    <w:rsid w:val="006716E5"/>
    <w:rsid w:val="00677043"/>
    <w:rsid w:val="00677B0E"/>
    <w:rsid w:val="00677DAF"/>
    <w:rsid w:val="00680351"/>
    <w:rsid w:val="00684060"/>
    <w:rsid w:val="00685B22"/>
    <w:rsid w:val="006901B4"/>
    <w:rsid w:val="006A580F"/>
    <w:rsid w:val="006B43E6"/>
    <w:rsid w:val="006B58F8"/>
    <w:rsid w:val="006C1FDC"/>
    <w:rsid w:val="006C7A92"/>
    <w:rsid w:val="006E03E3"/>
    <w:rsid w:val="006E1BC1"/>
    <w:rsid w:val="006E33A0"/>
    <w:rsid w:val="006E56C7"/>
    <w:rsid w:val="006E780E"/>
    <w:rsid w:val="006F4590"/>
    <w:rsid w:val="00700BE1"/>
    <w:rsid w:val="00700E02"/>
    <w:rsid w:val="00707A33"/>
    <w:rsid w:val="007125D8"/>
    <w:rsid w:val="007140E3"/>
    <w:rsid w:val="00714652"/>
    <w:rsid w:val="0072339C"/>
    <w:rsid w:val="00733B34"/>
    <w:rsid w:val="00734707"/>
    <w:rsid w:val="00735124"/>
    <w:rsid w:val="007376C2"/>
    <w:rsid w:val="00741C28"/>
    <w:rsid w:val="00742681"/>
    <w:rsid w:val="00745DAD"/>
    <w:rsid w:val="00746664"/>
    <w:rsid w:val="00750823"/>
    <w:rsid w:val="007555BC"/>
    <w:rsid w:val="007609AD"/>
    <w:rsid w:val="00772630"/>
    <w:rsid w:val="00772B4D"/>
    <w:rsid w:val="00772C1C"/>
    <w:rsid w:val="00782FF8"/>
    <w:rsid w:val="0078771B"/>
    <w:rsid w:val="007907DA"/>
    <w:rsid w:val="007932A0"/>
    <w:rsid w:val="007A12A0"/>
    <w:rsid w:val="007A4111"/>
    <w:rsid w:val="007A6929"/>
    <w:rsid w:val="007A69B2"/>
    <w:rsid w:val="007B2050"/>
    <w:rsid w:val="007B5AD8"/>
    <w:rsid w:val="007B6F8B"/>
    <w:rsid w:val="007B7AE8"/>
    <w:rsid w:val="007C1112"/>
    <w:rsid w:val="007C238A"/>
    <w:rsid w:val="007C43F5"/>
    <w:rsid w:val="007C65F1"/>
    <w:rsid w:val="007C7BD8"/>
    <w:rsid w:val="007D15EC"/>
    <w:rsid w:val="007D1BF7"/>
    <w:rsid w:val="007D289E"/>
    <w:rsid w:val="007D375B"/>
    <w:rsid w:val="007D4838"/>
    <w:rsid w:val="007E1467"/>
    <w:rsid w:val="007E3B55"/>
    <w:rsid w:val="007E494D"/>
    <w:rsid w:val="007E574D"/>
    <w:rsid w:val="007E5E3A"/>
    <w:rsid w:val="0080141F"/>
    <w:rsid w:val="00802A2C"/>
    <w:rsid w:val="008054E6"/>
    <w:rsid w:val="0080566A"/>
    <w:rsid w:val="00805898"/>
    <w:rsid w:val="00806923"/>
    <w:rsid w:val="0080701D"/>
    <w:rsid w:val="00811231"/>
    <w:rsid w:val="0081450B"/>
    <w:rsid w:val="008156C4"/>
    <w:rsid w:val="00816AA3"/>
    <w:rsid w:val="00822D3C"/>
    <w:rsid w:val="008240BD"/>
    <w:rsid w:val="00826FBF"/>
    <w:rsid w:val="00830FB8"/>
    <w:rsid w:val="008362D0"/>
    <w:rsid w:val="00845BE7"/>
    <w:rsid w:val="00845E61"/>
    <w:rsid w:val="0084759A"/>
    <w:rsid w:val="00855444"/>
    <w:rsid w:val="0085572C"/>
    <w:rsid w:val="00855F16"/>
    <w:rsid w:val="00856500"/>
    <w:rsid w:val="00864F5D"/>
    <w:rsid w:val="0087160F"/>
    <w:rsid w:val="00875B5F"/>
    <w:rsid w:val="00880B7E"/>
    <w:rsid w:val="008819A4"/>
    <w:rsid w:val="008854F9"/>
    <w:rsid w:val="00890689"/>
    <w:rsid w:val="008914EB"/>
    <w:rsid w:val="00893292"/>
    <w:rsid w:val="0089629C"/>
    <w:rsid w:val="008A19EF"/>
    <w:rsid w:val="008A4F94"/>
    <w:rsid w:val="008A53CF"/>
    <w:rsid w:val="008B0E38"/>
    <w:rsid w:val="008B2812"/>
    <w:rsid w:val="008B3F19"/>
    <w:rsid w:val="008B617B"/>
    <w:rsid w:val="008B707D"/>
    <w:rsid w:val="008B7894"/>
    <w:rsid w:val="008C175E"/>
    <w:rsid w:val="008C54C7"/>
    <w:rsid w:val="008D37E7"/>
    <w:rsid w:val="008D66E6"/>
    <w:rsid w:val="008D73C0"/>
    <w:rsid w:val="008E2311"/>
    <w:rsid w:val="008E6017"/>
    <w:rsid w:val="008F2F8B"/>
    <w:rsid w:val="00902B9E"/>
    <w:rsid w:val="00916355"/>
    <w:rsid w:val="00917556"/>
    <w:rsid w:val="00917EE7"/>
    <w:rsid w:val="00917F51"/>
    <w:rsid w:val="00920901"/>
    <w:rsid w:val="0092585D"/>
    <w:rsid w:val="00931E7E"/>
    <w:rsid w:val="0093383E"/>
    <w:rsid w:val="00933ED2"/>
    <w:rsid w:val="009345E6"/>
    <w:rsid w:val="009352A8"/>
    <w:rsid w:val="0093613C"/>
    <w:rsid w:val="0093683C"/>
    <w:rsid w:val="00936AAB"/>
    <w:rsid w:val="009372D6"/>
    <w:rsid w:val="00944946"/>
    <w:rsid w:val="00944E51"/>
    <w:rsid w:val="009503FC"/>
    <w:rsid w:val="0095051E"/>
    <w:rsid w:val="00953D31"/>
    <w:rsid w:val="00954D22"/>
    <w:rsid w:val="00957071"/>
    <w:rsid w:val="009671D6"/>
    <w:rsid w:val="009671E5"/>
    <w:rsid w:val="009758FE"/>
    <w:rsid w:val="00975AAE"/>
    <w:rsid w:val="00976658"/>
    <w:rsid w:val="00980BC9"/>
    <w:rsid w:val="00982A36"/>
    <w:rsid w:val="009A1B3D"/>
    <w:rsid w:val="009A52A0"/>
    <w:rsid w:val="009A5D8F"/>
    <w:rsid w:val="009A66F2"/>
    <w:rsid w:val="009B1426"/>
    <w:rsid w:val="009B2F5B"/>
    <w:rsid w:val="009C038C"/>
    <w:rsid w:val="009C0DBD"/>
    <w:rsid w:val="009C2B66"/>
    <w:rsid w:val="009C5203"/>
    <w:rsid w:val="009C7579"/>
    <w:rsid w:val="009D0276"/>
    <w:rsid w:val="009D2AAB"/>
    <w:rsid w:val="009D4E51"/>
    <w:rsid w:val="009D6144"/>
    <w:rsid w:val="009D63D8"/>
    <w:rsid w:val="009D69BB"/>
    <w:rsid w:val="009E0495"/>
    <w:rsid w:val="009E1EB2"/>
    <w:rsid w:val="009E291C"/>
    <w:rsid w:val="009E3972"/>
    <w:rsid w:val="009E4520"/>
    <w:rsid w:val="009F36FE"/>
    <w:rsid w:val="009F5A29"/>
    <w:rsid w:val="009F64A8"/>
    <w:rsid w:val="00A01CF5"/>
    <w:rsid w:val="00A035C5"/>
    <w:rsid w:val="00A03CB2"/>
    <w:rsid w:val="00A05FAA"/>
    <w:rsid w:val="00A105CF"/>
    <w:rsid w:val="00A13CA3"/>
    <w:rsid w:val="00A1656F"/>
    <w:rsid w:val="00A1733E"/>
    <w:rsid w:val="00A231E2"/>
    <w:rsid w:val="00A233FB"/>
    <w:rsid w:val="00A24D92"/>
    <w:rsid w:val="00A26AC8"/>
    <w:rsid w:val="00A26D67"/>
    <w:rsid w:val="00A2772F"/>
    <w:rsid w:val="00A30401"/>
    <w:rsid w:val="00A336BE"/>
    <w:rsid w:val="00A34020"/>
    <w:rsid w:val="00A51578"/>
    <w:rsid w:val="00A5169F"/>
    <w:rsid w:val="00A52289"/>
    <w:rsid w:val="00A53265"/>
    <w:rsid w:val="00A53B82"/>
    <w:rsid w:val="00A545BE"/>
    <w:rsid w:val="00A54A7E"/>
    <w:rsid w:val="00A5533F"/>
    <w:rsid w:val="00A55626"/>
    <w:rsid w:val="00A55797"/>
    <w:rsid w:val="00A55D93"/>
    <w:rsid w:val="00A6013D"/>
    <w:rsid w:val="00A60581"/>
    <w:rsid w:val="00A6085E"/>
    <w:rsid w:val="00A61CA9"/>
    <w:rsid w:val="00A63B59"/>
    <w:rsid w:val="00A704F7"/>
    <w:rsid w:val="00A75AEF"/>
    <w:rsid w:val="00A820AF"/>
    <w:rsid w:val="00A82192"/>
    <w:rsid w:val="00A83B9F"/>
    <w:rsid w:val="00A90FA9"/>
    <w:rsid w:val="00A92C18"/>
    <w:rsid w:val="00A92F19"/>
    <w:rsid w:val="00A93E3A"/>
    <w:rsid w:val="00A94EDC"/>
    <w:rsid w:val="00AA0A91"/>
    <w:rsid w:val="00AA4546"/>
    <w:rsid w:val="00AA4767"/>
    <w:rsid w:val="00AA6920"/>
    <w:rsid w:val="00AB2895"/>
    <w:rsid w:val="00AC37B6"/>
    <w:rsid w:val="00AC4401"/>
    <w:rsid w:val="00AC73BF"/>
    <w:rsid w:val="00AC7ED9"/>
    <w:rsid w:val="00AD02FD"/>
    <w:rsid w:val="00AD2E19"/>
    <w:rsid w:val="00AD40AF"/>
    <w:rsid w:val="00AE0561"/>
    <w:rsid w:val="00AE0DB5"/>
    <w:rsid w:val="00AE1AEB"/>
    <w:rsid w:val="00AE2AC8"/>
    <w:rsid w:val="00AE4EFE"/>
    <w:rsid w:val="00AF14A2"/>
    <w:rsid w:val="00AF1CCA"/>
    <w:rsid w:val="00AF286A"/>
    <w:rsid w:val="00AF3B8B"/>
    <w:rsid w:val="00AF6796"/>
    <w:rsid w:val="00B00E11"/>
    <w:rsid w:val="00B02E71"/>
    <w:rsid w:val="00B04DE3"/>
    <w:rsid w:val="00B10E13"/>
    <w:rsid w:val="00B344A8"/>
    <w:rsid w:val="00B35890"/>
    <w:rsid w:val="00B62164"/>
    <w:rsid w:val="00B72C4A"/>
    <w:rsid w:val="00B82B6E"/>
    <w:rsid w:val="00B844F2"/>
    <w:rsid w:val="00B86CB1"/>
    <w:rsid w:val="00B94357"/>
    <w:rsid w:val="00B9726E"/>
    <w:rsid w:val="00BA2FD4"/>
    <w:rsid w:val="00BA42F4"/>
    <w:rsid w:val="00BB2CD5"/>
    <w:rsid w:val="00BB458E"/>
    <w:rsid w:val="00BB72CD"/>
    <w:rsid w:val="00BB7F10"/>
    <w:rsid w:val="00BD0515"/>
    <w:rsid w:val="00BD1FE4"/>
    <w:rsid w:val="00BD2D08"/>
    <w:rsid w:val="00BE144E"/>
    <w:rsid w:val="00BE155B"/>
    <w:rsid w:val="00BE427E"/>
    <w:rsid w:val="00BE4A73"/>
    <w:rsid w:val="00BE5B6F"/>
    <w:rsid w:val="00BE5DAF"/>
    <w:rsid w:val="00BF2244"/>
    <w:rsid w:val="00BF2ABC"/>
    <w:rsid w:val="00BF2C3D"/>
    <w:rsid w:val="00BF670C"/>
    <w:rsid w:val="00BF72E1"/>
    <w:rsid w:val="00BF74BC"/>
    <w:rsid w:val="00C0699E"/>
    <w:rsid w:val="00C1055C"/>
    <w:rsid w:val="00C10895"/>
    <w:rsid w:val="00C159D1"/>
    <w:rsid w:val="00C310D9"/>
    <w:rsid w:val="00C40540"/>
    <w:rsid w:val="00C47112"/>
    <w:rsid w:val="00C54017"/>
    <w:rsid w:val="00C54BA7"/>
    <w:rsid w:val="00C54FE2"/>
    <w:rsid w:val="00C56996"/>
    <w:rsid w:val="00C60502"/>
    <w:rsid w:val="00C63501"/>
    <w:rsid w:val="00C63F03"/>
    <w:rsid w:val="00C671D9"/>
    <w:rsid w:val="00C6727C"/>
    <w:rsid w:val="00C81118"/>
    <w:rsid w:val="00C90F86"/>
    <w:rsid w:val="00C949F1"/>
    <w:rsid w:val="00CA00B7"/>
    <w:rsid w:val="00CA0897"/>
    <w:rsid w:val="00CA0F1B"/>
    <w:rsid w:val="00CA1D32"/>
    <w:rsid w:val="00CA2632"/>
    <w:rsid w:val="00CA2C98"/>
    <w:rsid w:val="00CB1DD3"/>
    <w:rsid w:val="00CB6146"/>
    <w:rsid w:val="00CB79CF"/>
    <w:rsid w:val="00CC55DE"/>
    <w:rsid w:val="00CC6898"/>
    <w:rsid w:val="00CC78BA"/>
    <w:rsid w:val="00CD2E0F"/>
    <w:rsid w:val="00CD5695"/>
    <w:rsid w:val="00CD716D"/>
    <w:rsid w:val="00CD7945"/>
    <w:rsid w:val="00CE150F"/>
    <w:rsid w:val="00CE19CE"/>
    <w:rsid w:val="00CE2841"/>
    <w:rsid w:val="00CE4380"/>
    <w:rsid w:val="00CE55E0"/>
    <w:rsid w:val="00CE588B"/>
    <w:rsid w:val="00CE778D"/>
    <w:rsid w:val="00CE79FA"/>
    <w:rsid w:val="00CF10ED"/>
    <w:rsid w:val="00CF3F08"/>
    <w:rsid w:val="00CF62E3"/>
    <w:rsid w:val="00D06C56"/>
    <w:rsid w:val="00D121AF"/>
    <w:rsid w:val="00D130F0"/>
    <w:rsid w:val="00D15720"/>
    <w:rsid w:val="00D16D0F"/>
    <w:rsid w:val="00D30633"/>
    <w:rsid w:val="00D3548E"/>
    <w:rsid w:val="00D3589F"/>
    <w:rsid w:val="00D367AF"/>
    <w:rsid w:val="00D42EC0"/>
    <w:rsid w:val="00D45F2C"/>
    <w:rsid w:val="00D46572"/>
    <w:rsid w:val="00D465F9"/>
    <w:rsid w:val="00D46948"/>
    <w:rsid w:val="00D5392B"/>
    <w:rsid w:val="00D54875"/>
    <w:rsid w:val="00D56D81"/>
    <w:rsid w:val="00D57106"/>
    <w:rsid w:val="00D63D6B"/>
    <w:rsid w:val="00D7198E"/>
    <w:rsid w:val="00D74F95"/>
    <w:rsid w:val="00D8727B"/>
    <w:rsid w:val="00D9214A"/>
    <w:rsid w:val="00D93A50"/>
    <w:rsid w:val="00D94C77"/>
    <w:rsid w:val="00DA0839"/>
    <w:rsid w:val="00DA6CF9"/>
    <w:rsid w:val="00DB342C"/>
    <w:rsid w:val="00DB6D8D"/>
    <w:rsid w:val="00DB6E0C"/>
    <w:rsid w:val="00DC17E0"/>
    <w:rsid w:val="00DC5B4E"/>
    <w:rsid w:val="00DC723A"/>
    <w:rsid w:val="00DD0592"/>
    <w:rsid w:val="00DD078B"/>
    <w:rsid w:val="00DD2083"/>
    <w:rsid w:val="00DD5774"/>
    <w:rsid w:val="00DD63AE"/>
    <w:rsid w:val="00DD6501"/>
    <w:rsid w:val="00DE3506"/>
    <w:rsid w:val="00DE3E46"/>
    <w:rsid w:val="00DE4BCC"/>
    <w:rsid w:val="00DE6BDD"/>
    <w:rsid w:val="00DF079D"/>
    <w:rsid w:val="00DF2021"/>
    <w:rsid w:val="00DF267D"/>
    <w:rsid w:val="00E07262"/>
    <w:rsid w:val="00E22A71"/>
    <w:rsid w:val="00E22E15"/>
    <w:rsid w:val="00E2739A"/>
    <w:rsid w:val="00E3288F"/>
    <w:rsid w:val="00E344CB"/>
    <w:rsid w:val="00E36B59"/>
    <w:rsid w:val="00E411EC"/>
    <w:rsid w:val="00E4224C"/>
    <w:rsid w:val="00E46E8A"/>
    <w:rsid w:val="00E47D09"/>
    <w:rsid w:val="00E50394"/>
    <w:rsid w:val="00E5282B"/>
    <w:rsid w:val="00E600C6"/>
    <w:rsid w:val="00E654AD"/>
    <w:rsid w:val="00E6676C"/>
    <w:rsid w:val="00E74BD1"/>
    <w:rsid w:val="00E806C1"/>
    <w:rsid w:val="00E816C0"/>
    <w:rsid w:val="00E82297"/>
    <w:rsid w:val="00E825AE"/>
    <w:rsid w:val="00E83CDD"/>
    <w:rsid w:val="00E84E1D"/>
    <w:rsid w:val="00E84FEB"/>
    <w:rsid w:val="00E86250"/>
    <w:rsid w:val="00E9237F"/>
    <w:rsid w:val="00E92455"/>
    <w:rsid w:val="00E93020"/>
    <w:rsid w:val="00E94FFE"/>
    <w:rsid w:val="00EA6A70"/>
    <w:rsid w:val="00EA762A"/>
    <w:rsid w:val="00EB1DDB"/>
    <w:rsid w:val="00EB2F2D"/>
    <w:rsid w:val="00EB4ACC"/>
    <w:rsid w:val="00EB5A78"/>
    <w:rsid w:val="00EB6301"/>
    <w:rsid w:val="00EC3FC3"/>
    <w:rsid w:val="00EC4CEB"/>
    <w:rsid w:val="00EC5367"/>
    <w:rsid w:val="00ED0210"/>
    <w:rsid w:val="00ED21D3"/>
    <w:rsid w:val="00EE321B"/>
    <w:rsid w:val="00EF04C5"/>
    <w:rsid w:val="00EF5D72"/>
    <w:rsid w:val="00EF5DF0"/>
    <w:rsid w:val="00EF72FE"/>
    <w:rsid w:val="00F01CAE"/>
    <w:rsid w:val="00F04313"/>
    <w:rsid w:val="00F04BDA"/>
    <w:rsid w:val="00F07C5C"/>
    <w:rsid w:val="00F132C7"/>
    <w:rsid w:val="00F14787"/>
    <w:rsid w:val="00F14906"/>
    <w:rsid w:val="00F157D2"/>
    <w:rsid w:val="00F21E4C"/>
    <w:rsid w:val="00F2541F"/>
    <w:rsid w:val="00F323F3"/>
    <w:rsid w:val="00F44816"/>
    <w:rsid w:val="00F468E8"/>
    <w:rsid w:val="00F46DD0"/>
    <w:rsid w:val="00F46FFA"/>
    <w:rsid w:val="00F471C5"/>
    <w:rsid w:val="00F47824"/>
    <w:rsid w:val="00F5380C"/>
    <w:rsid w:val="00F57252"/>
    <w:rsid w:val="00F625B3"/>
    <w:rsid w:val="00F63C09"/>
    <w:rsid w:val="00F73040"/>
    <w:rsid w:val="00F7529A"/>
    <w:rsid w:val="00F807EF"/>
    <w:rsid w:val="00F81179"/>
    <w:rsid w:val="00F85903"/>
    <w:rsid w:val="00F87834"/>
    <w:rsid w:val="00F90609"/>
    <w:rsid w:val="00F954DB"/>
    <w:rsid w:val="00F96AE5"/>
    <w:rsid w:val="00F9733E"/>
    <w:rsid w:val="00FA51B1"/>
    <w:rsid w:val="00FA7638"/>
    <w:rsid w:val="00FB21AB"/>
    <w:rsid w:val="00FB3211"/>
    <w:rsid w:val="00FB3CDF"/>
    <w:rsid w:val="00FB4219"/>
    <w:rsid w:val="00FB422F"/>
    <w:rsid w:val="00FB4AB2"/>
    <w:rsid w:val="00FB5134"/>
    <w:rsid w:val="00FB66ED"/>
    <w:rsid w:val="00FB7A2D"/>
    <w:rsid w:val="00FD0397"/>
    <w:rsid w:val="00FD09E0"/>
    <w:rsid w:val="00FD105B"/>
    <w:rsid w:val="00FD3FC3"/>
    <w:rsid w:val="00FF0472"/>
    <w:rsid w:val="00FF1648"/>
    <w:rsid w:val="00FF2738"/>
    <w:rsid w:val="00FF4706"/>
    <w:rsid w:val="00FF61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AA1F8E1"/>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it-IT" w:bidi="it-IT"/>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uiPriority="99"/>
    <w:lsdException w:name="header" w:qFormat="1"/>
    <w:lsdException w:name="footer" w:qFormat="1"/>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71F"/>
    <w:pPr>
      <w:spacing w:line="288" w:lineRule="auto"/>
      <w:jc w:val="both"/>
    </w:pPr>
    <w:rPr>
      <w:sz w:val="22"/>
      <w:szCs w:val="22"/>
      <w:lang w:eastAsia="en-US" w:bidi="ar-SA"/>
    </w:rPr>
  </w:style>
  <w:style w:type="paragraph" w:styleId="Heading1">
    <w:name w:val="heading 1"/>
    <w:basedOn w:val="Normal"/>
    <w:next w:val="Normal"/>
    <w:link w:val="Heading1Char"/>
    <w:qFormat/>
    <w:rsid w:val="001A671F"/>
    <w:pPr>
      <w:numPr>
        <w:numId w:val="1"/>
      </w:numPr>
      <w:ind w:left="567" w:hanging="567"/>
      <w:outlineLvl w:val="0"/>
    </w:pPr>
    <w:rPr>
      <w:kern w:val="28"/>
    </w:rPr>
  </w:style>
  <w:style w:type="paragraph" w:styleId="Heading2">
    <w:name w:val="heading 2"/>
    <w:basedOn w:val="Normal"/>
    <w:next w:val="Normal"/>
    <w:link w:val="Heading2Char"/>
    <w:qFormat/>
    <w:rsid w:val="001A671F"/>
    <w:pPr>
      <w:numPr>
        <w:ilvl w:val="1"/>
        <w:numId w:val="1"/>
      </w:numPr>
      <w:ind w:left="567" w:hanging="567"/>
      <w:outlineLvl w:val="1"/>
    </w:pPr>
  </w:style>
  <w:style w:type="paragraph" w:styleId="Heading3">
    <w:name w:val="heading 3"/>
    <w:basedOn w:val="Normal"/>
    <w:next w:val="Normal"/>
    <w:link w:val="Heading3Char"/>
    <w:qFormat/>
    <w:rsid w:val="001A671F"/>
    <w:pPr>
      <w:numPr>
        <w:ilvl w:val="2"/>
        <w:numId w:val="1"/>
      </w:numPr>
      <w:ind w:left="567" w:hanging="567"/>
      <w:outlineLvl w:val="2"/>
    </w:pPr>
  </w:style>
  <w:style w:type="paragraph" w:styleId="Heading4">
    <w:name w:val="heading 4"/>
    <w:basedOn w:val="Normal"/>
    <w:next w:val="Normal"/>
    <w:link w:val="Heading4Char"/>
    <w:qFormat/>
    <w:rsid w:val="001A671F"/>
    <w:pPr>
      <w:numPr>
        <w:ilvl w:val="3"/>
        <w:numId w:val="1"/>
      </w:numPr>
      <w:ind w:left="567" w:hanging="567"/>
      <w:outlineLvl w:val="3"/>
    </w:pPr>
  </w:style>
  <w:style w:type="paragraph" w:styleId="Heading5">
    <w:name w:val="heading 5"/>
    <w:basedOn w:val="Normal"/>
    <w:next w:val="Normal"/>
    <w:link w:val="Heading5Char"/>
    <w:qFormat/>
    <w:rsid w:val="001A671F"/>
    <w:pPr>
      <w:numPr>
        <w:ilvl w:val="4"/>
        <w:numId w:val="1"/>
      </w:numPr>
      <w:ind w:left="567" w:hanging="567"/>
      <w:outlineLvl w:val="4"/>
    </w:pPr>
  </w:style>
  <w:style w:type="paragraph" w:styleId="Heading6">
    <w:name w:val="heading 6"/>
    <w:basedOn w:val="Normal"/>
    <w:next w:val="Normal"/>
    <w:link w:val="Heading6Char"/>
    <w:qFormat/>
    <w:rsid w:val="001A671F"/>
    <w:pPr>
      <w:numPr>
        <w:ilvl w:val="5"/>
        <w:numId w:val="1"/>
      </w:numPr>
      <w:ind w:left="567" w:hanging="567"/>
      <w:outlineLvl w:val="5"/>
    </w:pPr>
  </w:style>
  <w:style w:type="paragraph" w:styleId="Heading7">
    <w:name w:val="heading 7"/>
    <w:basedOn w:val="Normal"/>
    <w:next w:val="Normal"/>
    <w:link w:val="Heading7Char"/>
    <w:qFormat/>
    <w:rsid w:val="001A671F"/>
    <w:pPr>
      <w:numPr>
        <w:ilvl w:val="6"/>
        <w:numId w:val="1"/>
      </w:numPr>
      <w:ind w:left="567" w:hanging="567"/>
      <w:outlineLvl w:val="6"/>
    </w:pPr>
  </w:style>
  <w:style w:type="paragraph" w:styleId="Heading8">
    <w:name w:val="heading 8"/>
    <w:basedOn w:val="Normal"/>
    <w:next w:val="Normal"/>
    <w:link w:val="Heading8Char"/>
    <w:qFormat/>
    <w:rsid w:val="001A671F"/>
    <w:pPr>
      <w:numPr>
        <w:ilvl w:val="7"/>
        <w:numId w:val="1"/>
      </w:numPr>
      <w:ind w:left="567" w:hanging="567"/>
      <w:outlineLvl w:val="7"/>
    </w:pPr>
  </w:style>
  <w:style w:type="paragraph" w:styleId="Heading9">
    <w:name w:val="heading 9"/>
    <w:basedOn w:val="Normal"/>
    <w:next w:val="Normal"/>
    <w:link w:val="Heading9Char"/>
    <w:qFormat/>
    <w:rsid w:val="001A671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477F3"/>
    <w:rPr>
      <w:kern w:val="28"/>
      <w:sz w:val="22"/>
      <w:szCs w:val="22"/>
      <w:lang w:val="hu-HU" w:eastAsia="en-US" w:bidi="ar-SA"/>
    </w:rPr>
  </w:style>
  <w:style w:type="character" w:customStyle="1" w:styleId="Heading2Char">
    <w:name w:val="Heading 2 Char"/>
    <w:link w:val="Heading2"/>
    <w:rsid w:val="00F477F3"/>
    <w:rPr>
      <w:sz w:val="22"/>
      <w:szCs w:val="22"/>
      <w:lang w:val="hu-HU" w:eastAsia="en-US" w:bidi="ar-SA"/>
    </w:rPr>
  </w:style>
  <w:style w:type="character" w:customStyle="1" w:styleId="Heading3Char">
    <w:name w:val="Heading 3 Char"/>
    <w:link w:val="Heading3"/>
    <w:rsid w:val="00F477F3"/>
    <w:rPr>
      <w:sz w:val="22"/>
      <w:szCs w:val="22"/>
      <w:lang w:val="hu-HU" w:eastAsia="en-US" w:bidi="ar-SA"/>
    </w:rPr>
  </w:style>
  <w:style w:type="character" w:customStyle="1" w:styleId="Heading4Char">
    <w:name w:val="Heading 4 Char"/>
    <w:link w:val="Heading4"/>
    <w:rsid w:val="00F477F3"/>
    <w:rPr>
      <w:sz w:val="22"/>
      <w:szCs w:val="22"/>
      <w:lang w:val="hu-HU" w:eastAsia="en-US" w:bidi="ar-SA"/>
    </w:rPr>
  </w:style>
  <w:style w:type="character" w:customStyle="1" w:styleId="Heading5Char">
    <w:name w:val="Heading 5 Char"/>
    <w:link w:val="Heading5"/>
    <w:rsid w:val="00F477F3"/>
    <w:rPr>
      <w:sz w:val="22"/>
      <w:szCs w:val="22"/>
      <w:lang w:val="hu-HU" w:eastAsia="en-US" w:bidi="ar-SA"/>
    </w:rPr>
  </w:style>
  <w:style w:type="character" w:customStyle="1" w:styleId="Heading6Char">
    <w:name w:val="Heading 6 Char"/>
    <w:link w:val="Heading6"/>
    <w:rsid w:val="00F477F3"/>
    <w:rPr>
      <w:sz w:val="22"/>
      <w:szCs w:val="22"/>
      <w:lang w:val="hu-HU" w:eastAsia="en-US" w:bidi="ar-SA"/>
    </w:rPr>
  </w:style>
  <w:style w:type="character" w:customStyle="1" w:styleId="Heading7Char">
    <w:name w:val="Heading 7 Char"/>
    <w:link w:val="Heading7"/>
    <w:rsid w:val="00F477F3"/>
    <w:rPr>
      <w:sz w:val="22"/>
      <w:szCs w:val="22"/>
      <w:lang w:val="hu-HU" w:eastAsia="en-US" w:bidi="ar-SA"/>
    </w:rPr>
  </w:style>
  <w:style w:type="character" w:customStyle="1" w:styleId="Heading8Char">
    <w:name w:val="Heading 8 Char"/>
    <w:link w:val="Heading8"/>
    <w:rsid w:val="00F477F3"/>
    <w:rPr>
      <w:sz w:val="22"/>
      <w:szCs w:val="22"/>
      <w:lang w:val="hu-HU" w:eastAsia="en-US" w:bidi="ar-SA"/>
    </w:rPr>
  </w:style>
  <w:style w:type="character" w:customStyle="1" w:styleId="Heading9Char">
    <w:name w:val="Heading 9 Char"/>
    <w:link w:val="Heading9"/>
    <w:rsid w:val="00F477F3"/>
    <w:rPr>
      <w:sz w:val="22"/>
      <w:szCs w:val="22"/>
      <w:lang w:val="hu-HU" w:eastAsia="en-US" w:bidi="ar-SA"/>
    </w:rPr>
  </w:style>
  <w:style w:type="paragraph" w:styleId="Footer">
    <w:name w:val="footer"/>
    <w:basedOn w:val="Normal"/>
    <w:link w:val="FooterChar"/>
    <w:qFormat/>
    <w:rsid w:val="001A671F"/>
  </w:style>
  <w:style w:type="character" w:customStyle="1" w:styleId="FooterChar">
    <w:name w:val="Footer Char"/>
    <w:link w:val="Footer"/>
    <w:rsid w:val="00F477F3"/>
    <w:rPr>
      <w:sz w:val="22"/>
      <w:szCs w:val="22"/>
      <w:lang w:eastAsia="en-US" w:bidi="ar-SA"/>
    </w:rPr>
  </w:style>
  <w:style w:type="paragraph" w:styleId="FootnoteText">
    <w:name w:val="footnote text"/>
    <w:aliases w:val="AF Fußnotentext,Fußnote,Footnote Text Char1 Char,Footnote Text Char Char Char,Footnote Text Char2 Char Char Char,Footnote Text Char1 Char Char Char Char,Footnote Text Char Char Char Char Char Char,Plonk,Footnote Text Char2"/>
    <w:basedOn w:val="Normal"/>
    <w:link w:val="FootnoteTextChar"/>
    <w:qFormat/>
    <w:rsid w:val="001A671F"/>
    <w:pPr>
      <w:keepLines/>
      <w:spacing w:after="60" w:line="240" w:lineRule="auto"/>
      <w:ind w:left="567" w:hanging="567"/>
    </w:pPr>
    <w:rPr>
      <w:sz w:val="16"/>
    </w:rPr>
  </w:style>
  <w:style w:type="character" w:customStyle="1" w:styleId="FootnoteTextChar">
    <w:name w:val="Footnote Text Char"/>
    <w:aliases w:val="AF Fußnotentext Char,Fußnote Char,Footnote Text Char1 Char Char,Footnote Text Char Char Char Char,Footnote Text Char2 Char Char Char Char,Footnote Text Char1 Char Char Char Char Char,Footnote Text Char Char Char Char Char Char Char"/>
    <w:link w:val="FootnoteText"/>
    <w:rsid w:val="00F477F3"/>
    <w:rPr>
      <w:sz w:val="16"/>
      <w:szCs w:val="22"/>
      <w:lang w:val="hu-HU" w:eastAsia="en-US" w:bidi="ar-SA"/>
    </w:rPr>
  </w:style>
  <w:style w:type="paragraph" w:styleId="Header">
    <w:name w:val="header"/>
    <w:basedOn w:val="Normal"/>
    <w:link w:val="HeaderChar"/>
    <w:qFormat/>
    <w:rsid w:val="001A671F"/>
  </w:style>
  <w:style w:type="character" w:customStyle="1" w:styleId="HeaderChar">
    <w:name w:val="Header Char"/>
    <w:link w:val="Header"/>
    <w:rsid w:val="00F477F3"/>
    <w:rPr>
      <w:sz w:val="22"/>
      <w:szCs w:val="22"/>
      <w:lang w:eastAsia="en-US" w:bidi="ar-SA"/>
    </w:rPr>
  </w:style>
  <w:style w:type="paragraph" w:customStyle="1" w:styleId="quotes">
    <w:name w:val="quotes"/>
    <w:basedOn w:val="Normal"/>
    <w:next w:val="Normal"/>
    <w:rsid w:val="001A671F"/>
    <w:pPr>
      <w:ind w:left="720"/>
    </w:pPr>
    <w:rPr>
      <w:i/>
    </w:rPr>
  </w:style>
  <w:style w:type="character" w:styleId="Hyperlink">
    <w:name w:val="Hyperlink"/>
    <w:uiPriority w:val="99"/>
    <w:rsid w:val="0019189E"/>
    <w:rPr>
      <w:color w:val="0000FF"/>
      <w:u w:val="single"/>
    </w:rPr>
  </w:style>
  <w:style w:type="character" w:styleId="FootnoteReference">
    <w:name w:val="footnote reference"/>
    <w:aliases w:val="Footnote symbol,Voetnootverwijzing,Times 10 Point,Exposant 3 Point,Nota,Footnote number,fr,o,Footnotemark,FR,Footnotemark1,Footnotemark2,FR1,Footnotemark3,FR2,Footnotemark4,FR3,Footnotemark5,FR4,Footnotemark6,Footnotemark7,Footnotemar"/>
    <w:basedOn w:val="DefaultParagraphFont"/>
    <w:unhideWhenUsed/>
    <w:qFormat/>
    <w:rsid w:val="001A671F"/>
    <w:rPr>
      <w:sz w:val="24"/>
      <w:vertAlign w:val="superscript"/>
    </w:rPr>
  </w:style>
  <w:style w:type="character" w:styleId="FollowedHyperlink">
    <w:name w:val="FollowedHyperlink"/>
    <w:uiPriority w:val="99"/>
    <w:rsid w:val="0019189E"/>
    <w:rPr>
      <w:color w:val="800080"/>
      <w:u w:val="single"/>
    </w:rPr>
  </w:style>
  <w:style w:type="paragraph" w:customStyle="1" w:styleId="LOGO">
    <w:name w:val="LOGO"/>
    <w:basedOn w:val="Normal"/>
    <w:rsid w:val="0019189E"/>
    <w:pPr>
      <w:jc w:val="center"/>
    </w:pPr>
    <w:rPr>
      <w:rFonts w:ascii="Arial" w:hAnsi="Arial"/>
      <w:b/>
      <w:i/>
      <w:sz w:val="20"/>
    </w:rPr>
  </w:style>
  <w:style w:type="paragraph" w:styleId="Revision">
    <w:name w:val="Revision"/>
    <w:hidden/>
    <w:uiPriority w:val="99"/>
    <w:semiHidden/>
    <w:rsid w:val="00AE4EFE"/>
    <w:rPr>
      <w:sz w:val="22"/>
      <w:szCs w:val="22"/>
    </w:rPr>
  </w:style>
  <w:style w:type="paragraph" w:styleId="BalloonText">
    <w:name w:val="Balloon Text"/>
    <w:basedOn w:val="Normal"/>
    <w:link w:val="BalloonTextChar"/>
    <w:semiHidden/>
    <w:unhideWhenUsed/>
    <w:rsid w:val="00AF679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F6796"/>
    <w:rPr>
      <w:rFonts w:ascii="Tahoma" w:hAnsi="Tahoma" w:cs="Tahoma"/>
      <w:sz w:val="16"/>
      <w:szCs w:val="16"/>
      <w:lang w:val="hu-H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it-IT" w:bidi="it-IT"/>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uiPriority="99"/>
    <w:lsdException w:name="header" w:qFormat="1"/>
    <w:lsdException w:name="footer" w:qFormat="1"/>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71F"/>
    <w:pPr>
      <w:spacing w:line="288" w:lineRule="auto"/>
      <w:jc w:val="both"/>
    </w:pPr>
    <w:rPr>
      <w:sz w:val="22"/>
      <w:szCs w:val="22"/>
      <w:lang w:eastAsia="en-US" w:bidi="ar-SA"/>
    </w:rPr>
  </w:style>
  <w:style w:type="paragraph" w:styleId="Heading1">
    <w:name w:val="heading 1"/>
    <w:basedOn w:val="Normal"/>
    <w:next w:val="Normal"/>
    <w:link w:val="Heading1Char"/>
    <w:qFormat/>
    <w:rsid w:val="001A671F"/>
    <w:pPr>
      <w:numPr>
        <w:numId w:val="1"/>
      </w:numPr>
      <w:ind w:left="567" w:hanging="567"/>
      <w:outlineLvl w:val="0"/>
    </w:pPr>
    <w:rPr>
      <w:kern w:val="28"/>
    </w:rPr>
  </w:style>
  <w:style w:type="paragraph" w:styleId="Heading2">
    <w:name w:val="heading 2"/>
    <w:basedOn w:val="Normal"/>
    <w:next w:val="Normal"/>
    <w:link w:val="Heading2Char"/>
    <w:qFormat/>
    <w:rsid w:val="001A671F"/>
    <w:pPr>
      <w:numPr>
        <w:ilvl w:val="1"/>
        <w:numId w:val="1"/>
      </w:numPr>
      <w:ind w:left="567" w:hanging="567"/>
      <w:outlineLvl w:val="1"/>
    </w:pPr>
  </w:style>
  <w:style w:type="paragraph" w:styleId="Heading3">
    <w:name w:val="heading 3"/>
    <w:basedOn w:val="Normal"/>
    <w:next w:val="Normal"/>
    <w:link w:val="Heading3Char"/>
    <w:qFormat/>
    <w:rsid w:val="001A671F"/>
    <w:pPr>
      <w:numPr>
        <w:ilvl w:val="2"/>
        <w:numId w:val="1"/>
      </w:numPr>
      <w:ind w:left="567" w:hanging="567"/>
      <w:outlineLvl w:val="2"/>
    </w:pPr>
  </w:style>
  <w:style w:type="paragraph" w:styleId="Heading4">
    <w:name w:val="heading 4"/>
    <w:basedOn w:val="Normal"/>
    <w:next w:val="Normal"/>
    <w:link w:val="Heading4Char"/>
    <w:qFormat/>
    <w:rsid w:val="001A671F"/>
    <w:pPr>
      <w:numPr>
        <w:ilvl w:val="3"/>
        <w:numId w:val="1"/>
      </w:numPr>
      <w:ind w:left="567" w:hanging="567"/>
      <w:outlineLvl w:val="3"/>
    </w:pPr>
  </w:style>
  <w:style w:type="paragraph" w:styleId="Heading5">
    <w:name w:val="heading 5"/>
    <w:basedOn w:val="Normal"/>
    <w:next w:val="Normal"/>
    <w:link w:val="Heading5Char"/>
    <w:qFormat/>
    <w:rsid w:val="001A671F"/>
    <w:pPr>
      <w:numPr>
        <w:ilvl w:val="4"/>
        <w:numId w:val="1"/>
      </w:numPr>
      <w:ind w:left="567" w:hanging="567"/>
      <w:outlineLvl w:val="4"/>
    </w:pPr>
  </w:style>
  <w:style w:type="paragraph" w:styleId="Heading6">
    <w:name w:val="heading 6"/>
    <w:basedOn w:val="Normal"/>
    <w:next w:val="Normal"/>
    <w:link w:val="Heading6Char"/>
    <w:qFormat/>
    <w:rsid w:val="001A671F"/>
    <w:pPr>
      <w:numPr>
        <w:ilvl w:val="5"/>
        <w:numId w:val="1"/>
      </w:numPr>
      <w:ind w:left="567" w:hanging="567"/>
      <w:outlineLvl w:val="5"/>
    </w:pPr>
  </w:style>
  <w:style w:type="paragraph" w:styleId="Heading7">
    <w:name w:val="heading 7"/>
    <w:basedOn w:val="Normal"/>
    <w:next w:val="Normal"/>
    <w:link w:val="Heading7Char"/>
    <w:qFormat/>
    <w:rsid w:val="001A671F"/>
    <w:pPr>
      <w:numPr>
        <w:ilvl w:val="6"/>
        <w:numId w:val="1"/>
      </w:numPr>
      <w:ind w:left="567" w:hanging="567"/>
      <w:outlineLvl w:val="6"/>
    </w:pPr>
  </w:style>
  <w:style w:type="paragraph" w:styleId="Heading8">
    <w:name w:val="heading 8"/>
    <w:basedOn w:val="Normal"/>
    <w:next w:val="Normal"/>
    <w:link w:val="Heading8Char"/>
    <w:qFormat/>
    <w:rsid w:val="001A671F"/>
    <w:pPr>
      <w:numPr>
        <w:ilvl w:val="7"/>
        <w:numId w:val="1"/>
      </w:numPr>
      <w:ind w:left="567" w:hanging="567"/>
      <w:outlineLvl w:val="7"/>
    </w:pPr>
  </w:style>
  <w:style w:type="paragraph" w:styleId="Heading9">
    <w:name w:val="heading 9"/>
    <w:basedOn w:val="Normal"/>
    <w:next w:val="Normal"/>
    <w:link w:val="Heading9Char"/>
    <w:qFormat/>
    <w:rsid w:val="001A671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477F3"/>
    <w:rPr>
      <w:kern w:val="28"/>
      <w:sz w:val="22"/>
      <w:szCs w:val="22"/>
      <w:lang w:val="hu-HU" w:eastAsia="en-US" w:bidi="ar-SA"/>
    </w:rPr>
  </w:style>
  <w:style w:type="character" w:customStyle="1" w:styleId="Heading2Char">
    <w:name w:val="Heading 2 Char"/>
    <w:link w:val="Heading2"/>
    <w:rsid w:val="00F477F3"/>
    <w:rPr>
      <w:sz w:val="22"/>
      <w:szCs w:val="22"/>
      <w:lang w:val="hu-HU" w:eastAsia="en-US" w:bidi="ar-SA"/>
    </w:rPr>
  </w:style>
  <w:style w:type="character" w:customStyle="1" w:styleId="Heading3Char">
    <w:name w:val="Heading 3 Char"/>
    <w:link w:val="Heading3"/>
    <w:rsid w:val="00F477F3"/>
    <w:rPr>
      <w:sz w:val="22"/>
      <w:szCs w:val="22"/>
      <w:lang w:val="hu-HU" w:eastAsia="en-US" w:bidi="ar-SA"/>
    </w:rPr>
  </w:style>
  <w:style w:type="character" w:customStyle="1" w:styleId="Heading4Char">
    <w:name w:val="Heading 4 Char"/>
    <w:link w:val="Heading4"/>
    <w:rsid w:val="00F477F3"/>
    <w:rPr>
      <w:sz w:val="22"/>
      <w:szCs w:val="22"/>
      <w:lang w:val="hu-HU" w:eastAsia="en-US" w:bidi="ar-SA"/>
    </w:rPr>
  </w:style>
  <w:style w:type="character" w:customStyle="1" w:styleId="Heading5Char">
    <w:name w:val="Heading 5 Char"/>
    <w:link w:val="Heading5"/>
    <w:rsid w:val="00F477F3"/>
    <w:rPr>
      <w:sz w:val="22"/>
      <w:szCs w:val="22"/>
      <w:lang w:val="hu-HU" w:eastAsia="en-US" w:bidi="ar-SA"/>
    </w:rPr>
  </w:style>
  <w:style w:type="character" w:customStyle="1" w:styleId="Heading6Char">
    <w:name w:val="Heading 6 Char"/>
    <w:link w:val="Heading6"/>
    <w:rsid w:val="00F477F3"/>
    <w:rPr>
      <w:sz w:val="22"/>
      <w:szCs w:val="22"/>
      <w:lang w:val="hu-HU" w:eastAsia="en-US" w:bidi="ar-SA"/>
    </w:rPr>
  </w:style>
  <w:style w:type="character" w:customStyle="1" w:styleId="Heading7Char">
    <w:name w:val="Heading 7 Char"/>
    <w:link w:val="Heading7"/>
    <w:rsid w:val="00F477F3"/>
    <w:rPr>
      <w:sz w:val="22"/>
      <w:szCs w:val="22"/>
      <w:lang w:val="hu-HU" w:eastAsia="en-US" w:bidi="ar-SA"/>
    </w:rPr>
  </w:style>
  <w:style w:type="character" w:customStyle="1" w:styleId="Heading8Char">
    <w:name w:val="Heading 8 Char"/>
    <w:link w:val="Heading8"/>
    <w:rsid w:val="00F477F3"/>
    <w:rPr>
      <w:sz w:val="22"/>
      <w:szCs w:val="22"/>
      <w:lang w:val="hu-HU" w:eastAsia="en-US" w:bidi="ar-SA"/>
    </w:rPr>
  </w:style>
  <w:style w:type="character" w:customStyle="1" w:styleId="Heading9Char">
    <w:name w:val="Heading 9 Char"/>
    <w:link w:val="Heading9"/>
    <w:rsid w:val="00F477F3"/>
    <w:rPr>
      <w:sz w:val="22"/>
      <w:szCs w:val="22"/>
      <w:lang w:val="hu-HU" w:eastAsia="en-US" w:bidi="ar-SA"/>
    </w:rPr>
  </w:style>
  <w:style w:type="paragraph" w:styleId="Footer">
    <w:name w:val="footer"/>
    <w:basedOn w:val="Normal"/>
    <w:link w:val="FooterChar"/>
    <w:qFormat/>
    <w:rsid w:val="001A671F"/>
  </w:style>
  <w:style w:type="character" w:customStyle="1" w:styleId="FooterChar">
    <w:name w:val="Footer Char"/>
    <w:link w:val="Footer"/>
    <w:rsid w:val="00F477F3"/>
    <w:rPr>
      <w:sz w:val="22"/>
      <w:szCs w:val="22"/>
      <w:lang w:eastAsia="en-US" w:bidi="ar-SA"/>
    </w:rPr>
  </w:style>
  <w:style w:type="paragraph" w:styleId="FootnoteText">
    <w:name w:val="footnote text"/>
    <w:aliases w:val="AF Fußnotentext,Fußnote,Footnote Text Char1 Char,Footnote Text Char Char Char,Footnote Text Char2 Char Char Char,Footnote Text Char1 Char Char Char Char,Footnote Text Char Char Char Char Char Char,Plonk,Footnote Text Char2"/>
    <w:basedOn w:val="Normal"/>
    <w:link w:val="FootnoteTextChar"/>
    <w:qFormat/>
    <w:rsid w:val="001A671F"/>
    <w:pPr>
      <w:keepLines/>
      <w:spacing w:after="60" w:line="240" w:lineRule="auto"/>
      <w:ind w:left="567" w:hanging="567"/>
    </w:pPr>
    <w:rPr>
      <w:sz w:val="16"/>
    </w:rPr>
  </w:style>
  <w:style w:type="character" w:customStyle="1" w:styleId="FootnoteTextChar">
    <w:name w:val="Footnote Text Char"/>
    <w:aliases w:val="AF Fußnotentext Char,Fußnote Char,Footnote Text Char1 Char Char,Footnote Text Char Char Char Char,Footnote Text Char2 Char Char Char Char,Footnote Text Char1 Char Char Char Char Char,Footnote Text Char Char Char Char Char Char Char"/>
    <w:link w:val="FootnoteText"/>
    <w:rsid w:val="00F477F3"/>
    <w:rPr>
      <w:sz w:val="16"/>
      <w:szCs w:val="22"/>
      <w:lang w:val="hu-HU" w:eastAsia="en-US" w:bidi="ar-SA"/>
    </w:rPr>
  </w:style>
  <w:style w:type="paragraph" w:styleId="Header">
    <w:name w:val="header"/>
    <w:basedOn w:val="Normal"/>
    <w:link w:val="HeaderChar"/>
    <w:qFormat/>
    <w:rsid w:val="001A671F"/>
  </w:style>
  <w:style w:type="character" w:customStyle="1" w:styleId="HeaderChar">
    <w:name w:val="Header Char"/>
    <w:link w:val="Header"/>
    <w:rsid w:val="00F477F3"/>
    <w:rPr>
      <w:sz w:val="22"/>
      <w:szCs w:val="22"/>
      <w:lang w:eastAsia="en-US" w:bidi="ar-SA"/>
    </w:rPr>
  </w:style>
  <w:style w:type="paragraph" w:customStyle="1" w:styleId="quotes">
    <w:name w:val="quotes"/>
    <w:basedOn w:val="Normal"/>
    <w:next w:val="Normal"/>
    <w:rsid w:val="001A671F"/>
    <w:pPr>
      <w:ind w:left="720"/>
    </w:pPr>
    <w:rPr>
      <w:i/>
    </w:rPr>
  </w:style>
  <w:style w:type="character" w:styleId="Hyperlink">
    <w:name w:val="Hyperlink"/>
    <w:uiPriority w:val="99"/>
    <w:rsid w:val="0019189E"/>
    <w:rPr>
      <w:color w:val="0000FF"/>
      <w:u w:val="single"/>
    </w:rPr>
  </w:style>
  <w:style w:type="character" w:styleId="FootnoteReference">
    <w:name w:val="footnote reference"/>
    <w:aliases w:val="Footnote symbol,Voetnootverwijzing,Times 10 Point,Exposant 3 Point,Nota,Footnote number,fr,o,Footnotemark,FR,Footnotemark1,Footnotemark2,FR1,Footnotemark3,FR2,Footnotemark4,FR3,Footnotemark5,FR4,Footnotemark6,Footnotemark7,Footnotemar"/>
    <w:basedOn w:val="DefaultParagraphFont"/>
    <w:unhideWhenUsed/>
    <w:qFormat/>
    <w:rsid w:val="001A671F"/>
    <w:rPr>
      <w:sz w:val="24"/>
      <w:vertAlign w:val="superscript"/>
    </w:rPr>
  </w:style>
  <w:style w:type="character" w:styleId="FollowedHyperlink">
    <w:name w:val="FollowedHyperlink"/>
    <w:uiPriority w:val="99"/>
    <w:rsid w:val="0019189E"/>
    <w:rPr>
      <w:color w:val="800080"/>
      <w:u w:val="single"/>
    </w:rPr>
  </w:style>
  <w:style w:type="paragraph" w:customStyle="1" w:styleId="LOGO">
    <w:name w:val="LOGO"/>
    <w:basedOn w:val="Normal"/>
    <w:rsid w:val="0019189E"/>
    <w:pPr>
      <w:jc w:val="center"/>
    </w:pPr>
    <w:rPr>
      <w:rFonts w:ascii="Arial" w:hAnsi="Arial"/>
      <w:b/>
      <w:i/>
      <w:sz w:val="20"/>
    </w:rPr>
  </w:style>
  <w:style w:type="paragraph" w:styleId="Revision">
    <w:name w:val="Revision"/>
    <w:hidden/>
    <w:uiPriority w:val="99"/>
    <w:semiHidden/>
    <w:rsid w:val="00AE4EFE"/>
    <w:rPr>
      <w:sz w:val="22"/>
      <w:szCs w:val="22"/>
    </w:rPr>
  </w:style>
  <w:style w:type="paragraph" w:styleId="BalloonText">
    <w:name w:val="Balloon Text"/>
    <w:basedOn w:val="Normal"/>
    <w:link w:val="BalloonTextChar"/>
    <w:semiHidden/>
    <w:unhideWhenUsed/>
    <w:rsid w:val="00AF679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F6796"/>
    <w:rPr>
      <w:rFonts w:ascii="Tahoma" w:hAnsi="Tahoma" w:cs="Tahoma"/>
      <w:sz w:val="16"/>
      <w:szCs w:val="16"/>
      <w:lang w:val="hu-H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94973">
      <w:bodyDiv w:val="1"/>
      <w:marLeft w:val="0"/>
      <w:marRight w:val="0"/>
      <w:marTop w:val="0"/>
      <w:marBottom w:val="0"/>
      <w:divBdr>
        <w:top w:val="none" w:sz="0" w:space="0" w:color="auto"/>
        <w:left w:val="none" w:sz="0" w:space="0" w:color="auto"/>
        <w:bottom w:val="none" w:sz="0" w:space="0" w:color="auto"/>
        <w:right w:val="none" w:sz="0" w:space="0" w:color="auto"/>
      </w:divBdr>
    </w:div>
    <w:div w:id="84714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emportal.cor.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emportal.cor.europa.eu/"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data.consilium.europa.eu/doc/document/ST-6779-2018-INIT/en/pdf" TargetMode="External"/></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a50c78c-f4f4-481c-9f4f-2304ef344578">4HZEMHAC3EDJ-6-3666</_dlc_DocId>
    <_dlc_DocIdUrl xmlns="fa50c78c-f4f4-481c-9f4f-2304ef344578">
      <Url>http://dm/CoR/2018/_layouts/DocIdRedir.aspx?ID=4HZEMHAC3EDJ-6-3666</Url>
      <Description>4HZEMHAC3EDJ-6-3666</Description>
    </_dlc_DocIdUrl>
    <MeetingNumber xmlns="630a089e-9401-48cd-90d5-992b2b191573">20</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PA</TermName>
          <TermId xmlns="http://schemas.microsoft.com/office/infopath/2007/PartnerControls">ef6fd07e-7d84-45ad-8a75-9a9414a8759c</TermId>
        </TermInfo>
      </Terms>
    </DocumentType_0>
    <Procedure xmlns="fa50c78c-f4f4-481c-9f4f-2304ef344578"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SEDEC-VI</TermName>
          <TermId xmlns="http://schemas.microsoft.com/office/infopath/2007/PartnerControls">f06eb240-9dba-4299-813c-b6d38e9a15c0</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fa50c78c-f4f4-481c-9f4f-2304ef344578">2018-10-01T12:00:00+00:00</ProductionDate>
    <DocumentNumber xmlns="630a089e-9401-48cd-90d5-992b2b191573">3892</DocumentNumber>
    <FicheYear xmlns="fa50c78c-f4f4-481c-9f4f-2304ef344578">2018</FicheYear>
    <DocumentVersion xmlns="fa50c78c-f4f4-481c-9f4f-2304ef344578">1</DocumentVersion>
    <DossierNumber xmlns="fa50c78c-f4f4-481c-9f4f-2304ef344578">42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fa50c78c-f4f4-481c-9f4f-2304ef344578">2018-10-18T12:00:00+00:00</MeetingDate>
    <TaxCatchAll xmlns="fa50c78c-f4f4-481c-9f4f-2304ef344578">
      <Value>32</Value>
      <Value>36</Value>
      <Value>35</Value>
      <Value>79</Value>
      <Value>31</Value>
      <Value>73</Value>
      <Value>29</Value>
      <Value>27</Value>
      <Value>26</Value>
      <Value>17</Value>
      <Value>15</Value>
      <Value>7</Value>
      <Value>5</Value>
      <Value>50</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Rapporteur xmlns="fa50c78c-f4f4-481c-9f4f-2304ef344578">BIANCHI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fa50c78c-f4f4-481c-9f4f-2304ef344578">10946</FicheNumber>
    <DocumentYear xmlns="fa50c78c-f4f4-481c-9f4f-2304ef344578">2018</DocumentYear>
    <AdoptionDate xmlns="fa50c78c-f4f4-481c-9f4f-2304ef344578" xsi:nil="true"/>
    <DocumentPart xmlns="fa50c78c-f4f4-481c-9f4f-2304ef344578">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SEDEC-VI</TermName>
          <TermId xmlns="http://schemas.microsoft.com/office/infopath/2007/PartnerControls">9dc7ca8b-742b-490e-a49f-907d997f3e13</TermId>
        </TermInfo>
      </Terms>
    </MeetingName_0>
    <RequestingService xmlns="fa50c78c-f4f4-481c-9f4f-2304ef344578">Commission SEDEC</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22872905104DE74EB9DE3D3D1B2A4698" ma:contentTypeVersion="4" ma:contentTypeDescription="Defines the documents for Document Manager V2" ma:contentTypeScope="" ma:versionID="02101454e2b454f7e2d8b05662665a52">
  <xsd:schema xmlns:xsd="http://www.w3.org/2001/XMLSchema" xmlns:xs="http://www.w3.org/2001/XMLSchema" xmlns:p="http://schemas.microsoft.com/office/2006/metadata/properties" xmlns:ns2="fa50c78c-f4f4-481c-9f4f-2304ef344578" xmlns:ns3="http://schemas.microsoft.com/sharepoint/v3/fields" xmlns:ns4="630a089e-9401-48cd-90d5-992b2b191573" targetNamespace="http://schemas.microsoft.com/office/2006/metadata/properties" ma:root="true" ma:fieldsID="d8d4d83b5bc79c09b517e8e121474d75" ns2:_="" ns3:_="" ns4:_="">
    <xsd:import namespace="fa50c78c-f4f4-481c-9f4f-2304ef344578"/>
    <xsd:import namespace="http://schemas.microsoft.com/sharepoint/v3/fields"/>
    <xsd:import namespace="630a089e-9401-48cd-90d5-992b2b191573"/>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c78c-f4f4-481c-9f4f-2304ef3445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d5f635c-ac80-4d9c-8560-a7d116c7109d}" ma:internalName="TaxCatchAll" ma:showField="CatchAllData"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d5f635c-ac80-4d9c-8560-a7d116c7109d}" ma:internalName="TaxCatchAllLabel" ma:readOnly="true" ma:showField="CatchAllDataLabel"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0a089e-9401-48cd-90d5-992b2b191573"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4B93AC-60FD-4E41-BAEA-DFCC6B93C2FB}"/>
</file>

<file path=customXml/itemProps2.xml><?xml version="1.0" encoding="utf-8"?>
<ds:datastoreItem xmlns:ds="http://schemas.openxmlformats.org/officeDocument/2006/customXml" ds:itemID="{7EA6A48E-5535-4151-8A81-798DFD33D1C7}"/>
</file>

<file path=customXml/itemProps3.xml><?xml version="1.0" encoding="utf-8"?>
<ds:datastoreItem xmlns:ds="http://schemas.openxmlformats.org/officeDocument/2006/customXml" ds:itemID="{45407D84-5122-4BCF-97C1-D0FAF2636F3B}"/>
</file>

<file path=customXml/itemProps4.xml><?xml version="1.0" encoding="utf-8"?>
<ds:datastoreItem xmlns:ds="http://schemas.openxmlformats.org/officeDocument/2006/customXml" ds:itemID="{7042B3F1-ADBC-4666-8E8F-BCDC783CABAE}"/>
</file>

<file path=customXml/itemProps5.xml><?xml version="1.0" encoding="utf-8"?>
<ds:datastoreItem xmlns:ds="http://schemas.openxmlformats.org/officeDocument/2006/customXml" ds:itemID="{8767AF62-AEE5-4D78-A951-EADBEAED785F}"/>
</file>

<file path=docProps/app.xml><?xml version="1.0" encoding="utf-8"?>
<Properties xmlns="http://schemas.openxmlformats.org/officeDocument/2006/extended-properties" xmlns:vt="http://schemas.openxmlformats.org/officeDocument/2006/docPropsVTypes">
  <Template>Styles.dotm</Template>
  <TotalTime>12</TotalTime>
  <Pages>3</Pages>
  <Words>5917</Words>
  <Characters>33730</Characters>
  <Application>Microsoft Office Word</Application>
  <DocSecurity>0</DocSecurity>
  <Lines>281</Lines>
  <Paragraphs>79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Il corpo europeo di solidarietà e la nuova strategia dell'UE per la gioventù</vt:lpstr>
      <vt:lpstr>Il pilastro europeo dei diritti sociali e Documento di riflessione sulla dimensione sociale dell'Europa</vt:lpstr>
    </vt:vector>
  </TitlesOfParts>
  <Company>CESE-CdR</Company>
  <LinksUpToDate>false</LinksUpToDate>
  <CharactersWithSpaces>39568</CharactersWithSpaces>
  <SharedDoc>false</SharedDoc>
  <HLinks>
    <vt:vector size="42" baseType="variant">
      <vt:variant>
        <vt:i4>3538989</vt:i4>
      </vt:variant>
      <vt:variant>
        <vt:i4>15</vt:i4>
      </vt:variant>
      <vt:variant>
        <vt:i4>0</vt:i4>
      </vt:variant>
      <vt:variant>
        <vt:i4>5</vt:i4>
      </vt:variant>
      <vt:variant>
        <vt:lpwstr>http://cor.europa.eu/it/activities/opinions/pages/opinion-factsheet.aspx?OpinionNumber=CDR%206863/2013</vt:lpwstr>
      </vt:variant>
      <vt:variant>
        <vt:lpwstr/>
      </vt:variant>
      <vt:variant>
        <vt:i4>3342383</vt:i4>
      </vt:variant>
      <vt:variant>
        <vt:i4>12</vt:i4>
      </vt:variant>
      <vt:variant>
        <vt:i4>0</vt:i4>
      </vt:variant>
      <vt:variant>
        <vt:i4>5</vt:i4>
      </vt:variant>
      <vt:variant>
        <vt:lpwstr>http://cor.europa.eu/it/activities/opinions/pages/opinion-factsheet.aspx?OpinionNumber=CDR%204871/2015</vt:lpwstr>
      </vt:variant>
      <vt:variant>
        <vt:lpwstr/>
      </vt:variant>
      <vt:variant>
        <vt:i4>3145771</vt:i4>
      </vt:variant>
      <vt:variant>
        <vt:i4>9</vt:i4>
      </vt:variant>
      <vt:variant>
        <vt:i4>0</vt:i4>
      </vt:variant>
      <vt:variant>
        <vt:i4>5</vt:i4>
      </vt:variant>
      <vt:variant>
        <vt:lpwstr>http://cor.europa.eu/it/activities/opinions/pages/opinion-factsheet.aspx?OpinionNumber=CDR%201419/2015</vt:lpwstr>
      </vt:variant>
      <vt:variant>
        <vt:lpwstr/>
      </vt:variant>
      <vt:variant>
        <vt:i4>3735655</vt:i4>
      </vt:variant>
      <vt:variant>
        <vt:i4>6</vt:i4>
      </vt:variant>
      <vt:variant>
        <vt:i4>0</vt:i4>
      </vt:variant>
      <vt:variant>
        <vt:i4>5</vt:i4>
      </vt:variant>
      <vt:variant>
        <vt:lpwstr>http://cor.europa.eu/it/activities/opinions/Pages/opinion-factsheet.aspx?OpinionNumber=CDR%202868/2016.com</vt:lpwstr>
      </vt:variant>
      <vt:variant>
        <vt:lpwstr/>
      </vt:variant>
      <vt:variant>
        <vt:i4>3211309</vt:i4>
      </vt:variant>
      <vt:variant>
        <vt:i4>3</vt:i4>
      </vt:variant>
      <vt:variant>
        <vt:i4>0</vt:i4>
      </vt:variant>
      <vt:variant>
        <vt:i4>5</vt:i4>
      </vt:variant>
      <vt:variant>
        <vt:lpwstr>https://memportal.cor.europa.eu/Handlers/ViewDoc.ashx?doc=COR-2017-01791-00-01-RES-TRA-IT.docx</vt:lpwstr>
      </vt:variant>
      <vt:variant>
        <vt:lpwstr/>
      </vt:variant>
      <vt:variant>
        <vt:i4>4784154</vt:i4>
      </vt:variant>
      <vt:variant>
        <vt:i4>0</vt:i4>
      </vt:variant>
      <vt:variant>
        <vt:i4>0</vt:i4>
      </vt:variant>
      <vt:variant>
        <vt:i4>5</vt:i4>
      </vt:variant>
      <vt:variant>
        <vt:lpwstr>https://memportal.cor.europa.eu/</vt:lpwstr>
      </vt:variant>
      <vt:variant>
        <vt:lpwstr/>
      </vt:variant>
      <vt:variant>
        <vt:i4>6029321</vt:i4>
      </vt:variant>
      <vt:variant>
        <vt:i4>0</vt:i4>
      </vt:variant>
      <vt:variant>
        <vt:i4>0</vt:i4>
      </vt:variant>
      <vt:variant>
        <vt:i4>5</vt:i4>
      </vt:variant>
      <vt:variant>
        <vt:lpwstr>http://www.esn-eu.org/news/925/index.html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Európai Szolidaritási Testület és az EU új ifjúsági stratégiája</dc:title>
  <dc:creator>Daniela Pastina</dc:creator>
  <cp:keywords>COR-2018-03892-00-01-PA-TRA-IT</cp:keywords>
  <dc:description>Rapporteur: BIANCHI - Original language: IT - Date of document: 01/10/2018 - Date of meeting: 18/10/2018 - External documents: COM(2018)269-final - Administrator: MME Mäkäräinen Pauliina Laura</dc:description>
  <cp:lastModifiedBy>Andrea Maszlag</cp:lastModifiedBy>
  <cp:revision>11</cp:revision>
  <cp:lastPrinted>2018-09-19T10:47:00Z</cp:lastPrinted>
  <dcterms:created xsi:type="dcterms:W3CDTF">2018-09-26T14:07:00Z</dcterms:created>
  <dcterms:modified xsi:type="dcterms:W3CDTF">2018-10-01T06:50:00Z</dcterms:modified>
  <cp:category>SEDEC-VI/42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26/09/2018, 19/09/2018, 18/10/2017, 18/10/2017, 30/08/2017, 30/08/2017</vt:lpwstr>
  </property>
  <property fmtid="{D5CDD505-2E9C-101B-9397-08002B2CF9AE}" pid="4" name="Pref_Time">
    <vt:lpwstr>16:07:26, 16:11:35, 16:49:08, 16:39:55, 10:33:04, 10:20:08</vt:lpwstr>
  </property>
  <property fmtid="{D5CDD505-2E9C-101B-9397-08002B2CF9AE}" pid="5" name="Pref_User">
    <vt:lpwstr>tvoc, hnic, hnic, ssex, enied, enied</vt:lpwstr>
  </property>
  <property fmtid="{D5CDD505-2E9C-101B-9397-08002B2CF9AE}" pid="6" name="Pref_FileName">
    <vt:lpwstr>COR-2018-03892-00-01-PA-ORI.docx, COR-2018-03892-00-00-PA-TRA-IT-CRR.docx, COR-2017-03141-00-00-AC-TRA-EN-CRR.docx, COR-2017-03141-00-00-AC-CRR-EN.docx, COR-2017-03141-00-00-PAC-ORI.docx, COR-2017-03141-00-00-PAC-TRA-IT-CRR.docx</vt:lpwstr>
  </property>
  <property fmtid="{D5CDD505-2E9C-101B-9397-08002B2CF9AE}" pid="7" name="ContentTypeId">
    <vt:lpwstr>0x010100EA97B91038054C99906057A708A1480A0022872905104DE74EB9DE3D3D1B2A4698</vt:lpwstr>
  </property>
  <property fmtid="{D5CDD505-2E9C-101B-9397-08002B2CF9AE}" pid="8" name="_dlc_DocIdItemGuid">
    <vt:lpwstr>e5ff1b1d-114d-4d49-9e05-4336410c02bf</vt:lpwstr>
  </property>
  <property fmtid="{D5CDD505-2E9C-101B-9397-08002B2CF9AE}" pid="9" name="ErrorCode">
    <vt:lpwstr>Exception</vt:lpwstr>
  </property>
  <property fmtid="{D5CDD505-2E9C-101B-9397-08002B2CF9AE}" pid="10" name="ErrorDescription">
    <vt:lpwstr>Error = Unbale to add terms to the termstore. An exception has occured - Exception = Microsoft.SharePoint.SPException: Unable to connect to term store for this site collection
   at DocumentManagerV2.BusinessLogic.Utilities.TermStoreManager.GetDefaultTermStore(SPSite site)
   at DocumentManagerV2.BusinessLogic.Utilities.TermStoreManager.get_TermStore()
   at DocumentManagerV2.BusinessLogic.Utilities.TermStoreManager.AddTermInTermStore(String termTitle, String termSetTitle, String level1TermTitle)
   at DocumentManagerV2.BusinessLogic.Filters.AddMeetingNameToTermStoreFilter.AddOneValueToTermStore(DMV2SPFile dmFile, Guid fieldAsTextId, String termSetName, String level1Term)
   at DocumentManagerV2.BusinessLogic.Filters.AddMeetingNameToTermStoreFilter.Process(DMV2SPFile dmFile)
</vt:lpwstr>
  </property>
  <property fmtid="{D5CDD505-2E9C-101B-9397-08002B2CF9AE}" pid="11" name="MeetingNumber">
    <vt:i4>20</vt:i4>
  </property>
  <property fmtid="{D5CDD505-2E9C-101B-9397-08002B2CF9AE}" pid="12" name="DocumentType_0">
    <vt:lpwstr>PA|ef6fd07e-7d84-45ad-8a75-9a9414a8759c</vt:lpwstr>
  </property>
  <property fmtid="{D5CDD505-2E9C-101B-9397-08002B2CF9AE}" pid="13" name="AvailableTranslations">
    <vt:lpwstr>17;#HU|6b229040-c589-4408-b4c1-4285663d20a8;#26;#MT|7df99101-6854-4a26-b53a-b88c0da02c26;#31;#IT|0774613c-01ed-4e5d-a25d-11d2388de825;#35;#RO|feb747a2-64cd-4299-af12-4833ddc30497;#32;#FI|87606a43-d45f-42d6-b8c9-e1a3457db5b7;#29;#BG|1a1b3951-7821-4e6a-85f5-5673fc08bd2c;#15;#EL|6d4f4d51-af9b-4650-94b4-4276bee85c91;#27;#NL|55c6556c-b4f4-441d-9acf-c498d4f838bd;#36;#DA|5d49c027-8956-412b-aa16-e85a0f96ad0e</vt:lpwstr>
  </property>
  <property fmtid="{D5CDD505-2E9C-101B-9397-08002B2CF9AE}" pid="14" name="DossierName_0">
    <vt:lpwstr>SEDEC-VI|f06eb240-9dba-4299-813c-b6d38e9a15c0</vt:lpwstr>
  </property>
  <property fmtid="{D5CDD505-2E9C-101B-9397-08002B2CF9AE}" pid="15" name="DocumentSource_0">
    <vt:lpwstr>CoR|cb2d75ef-4a7d-4393-b797-49ed6298a5ea</vt:lpwstr>
  </property>
  <property fmtid="{D5CDD505-2E9C-101B-9397-08002B2CF9AE}" pid="16" name="FicheYear">
    <vt:i4>2018</vt:i4>
  </property>
  <property fmtid="{D5CDD505-2E9C-101B-9397-08002B2CF9AE}" pid="17" name="DocumentNumber">
    <vt:i4>3892</vt:i4>
  </property>
  <property fmtid="{D5CDD505-2E9C-101B-9397-08002B2CF9AE}" pid="18" name="DocumentVersion">
    <vt:i4>1</vt:i4>
  </property>
  <property fmtid="{D5CDD505-2E9C-101B-9397-08002B2CF9AE}" pid="19" name="DossierNumber">
    <vt:i4>42</vt:i4>
  </property>
  <property fmtid="{D5CDD505-2E9C-101B-9397-08002B2CF9AE}" pid="20" name="DocumentStatus">
    <vt:lpwstr>2;#TRA|150d2a88-1431-44e6-a8ca-0bb753ab8672</vt:lpwstr>
  </property>
  <property fmtid="{D5CDD505-2E9C-101B-9397-08002B2CF9AE}" pid="21" name="DossierName">
    <vt:lpwstr>73;#SEDEC-VI|f06eb240-9dba-4299-813c-b6d38e9a15c0</vt:lpwstr>
  </property>
  <property fmtid="{D5CDD505-2E9C-101B-9397-08002B2CF9AE}" pid="22" name="RequestingService">
    <vt:lpwstr>Commission SEDEC</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SEDEC-VI|9dc7ca8b-742b-490e-a49f-907d997f3e13</vt:lpwstr>
  </property>
  <property fmtid="{D5CDD505-2E9C-101B-9397-08002B2CF9AE}" pid="26" name="OriginalLanguage">
    <vt:lpwstr>31;#IT|0774613c-01ed-4e5d-a25d-11d2388de825</vt:lpwstr>
  </property>
  <property fmtid="{D5CDD505-2E9C-101B-9397-08002B2CF9AE}" pid="27" name="MeetingName">
    <vt:lpwstr>50;#SEDEC-VI|9dc7ca8b-742b-490e-a49f-907d997f3e13</vt:lpwstr>
  </property>
  <property fmtid="{D5CDD505-2E9C-101B-9397-08002B2CF9AE}" pid="28" name="DocumentStatus_0">
    <vt:lpwstr>TRA|150d2a88-1431-44e6-a8ca-0bb753ab8672</vt:lpwstr>
  </property>
  <property fmtid="{D5CDD505-2E9C-101B-9397-08002B2CF9AE}" pid="29" name="OriginalLanguage_0">
    <vt:lpwstr>IT|0774613c-01ed-4e5d-a25d-11d2388de825</vt:lpwstr>
  </property>
  <property fmtid="{D5CDD505-2E9C-101B-9397-08002B2CF9AE}" pid="30" name="MeetingDate">
    <vt:filetime>2018-10-18T12:00:00Z</vt:filetime>
  </property>
  <property fmtid="{D5CDD505-2E9C-101B-9397-08002B2CF9AE}" pid="31" name="TaxCatchAll">
    <vt:lpwstr>36;#DA|5d49c027-8956-412b-aa16-e85a0f96ad0e;#79;#PA|ef6fd07e-7d84-45ad-8a75-9a9414a8759c;#7;#Final|ea5e6674-7b27-4bac-b091-73adbb394efe;#31;#IT|0774613c-01ed-4e5d-a25d-11d2388de825;#50;#SEDEC-VI|9dc7ca8b-742b-490e-a49f-907d997f3e13;#27;#NL|55c6556c-b4f4-441d-9acf-c498d4f838bd;#5;#Unrestricted|826e22d7-d029-4ec0-a450-0c28ff673572;#73;#SEDEC-VI|f06eb240-9dba-4299-813c-b6d38e9a15c0;#2;#TRA|150d2a88-1431-44e6-a8ca-0bb753ab8672;#1;#CoR|cb2d75ef-4a7d-4393-b797-49ed6298a5ea</vt:lpwstr>
  </property>
  <property fmtid="{D5CDD505-2E9C-101B-9397-08002B2CF9AE}" pid="32" name="AvailableTranslations_0">
    <vt:lpwstr>IT|0774613c-01ed-4e5d-a25d-11d2388de825;NL|55c6556c-b4f4-441d-9acf-c498d4f838bd;DA|5d49c027-8956-412b-aa16-e85a0f96ad0e</vt:lpwstr>
  </property>
  <property fmtid="{D5CDD505-2E9C-101B-9397-08002B2CF9AE}" pid="33" name="VersionStatus">
    <vt:lpwstr>7;#Final|ea5e6674-7b27-4bac-b091-73adbb394efe</vt:lpwstr>
  </property>
  <property fmtid="{D5CDD505-2E9C-101B-9397-08002B2CF9AE}" pid="34" name="Rapporteur">
    <vt:lpwstr>BIANCHI</vt:lpwstr>
  </property>
  <property fmtid="{D5CDD505-2E9C-101B-9397-08002B2CF9AE}" pid="35" name="VersionStatus_0">
    <vt:lpwstr>Final|ea5e6674-7b27-4bac-b091-73adbb394efe</vt:lpwstr>
  </property>
  <property fmtid="{D5CDD505-2E9C-101B-9397-08002B2CF9AE}" pid="36" name="FicheNumber">
    <vt:i4>10946</vt:i4>
  </property>
  <property fmtid="{D5CDD505-2E9C-101B-9397-08002B2CF9AE}" pid="37" name="DocumentYear">
    <vt:i4>2018</vt:i4>
  </property>
  <property fmtid="{D5CDD505-2E9C-101B-9397-08002B2CF9AE}" pid="38" name="DocumentSource">
    <vt:lpwstr>1;#CoR|cb2d75ef-4a7d-4393-b797-49ed6298a5ea</vt:lpwstr>
  </property>
  <property fmtid="{D5CDD505-2E9C-101B-9397-08002B2CF9AE}" pid="40" name="DocumentType">
    <vt:lpwstr>79;#PA|ef6fd07e-7d84-45ad-8a75-9a9414a8759c</vt:lpwstr>
  </property>
  <property fmtid="{D5CDD505-2E9C-101B-9397-08002B2CF9AE}" pid="41" name="DocumentPart">
    <vt:i4>0</vt:i4>
  </property>
  <property fmtid="{D5CDD505-2E9C-101B-9397-08002B2CF9AE}" pid="42" name="DocumentLanguage">
    <vt:lpwstr>17;#HU|6b229040-c589-4408-b4c1-4285663d20a8</vt:lpwstr>
  </property>
</Properties>
</file>