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4645"/>
      </w:tblGrid>
      <w:tr w:rsidR="00B63404" w:rsidRPr="00D36D33" w14:paraId="3F902E0D" w14:textId="77777777" w:rsidTr="00663089">
        <w:tc>
          <w:tcPr>
            <w:tcW w:w="4644" w:type="dxa"/>
          </w:tcPr>
          <w:p w14:paraId="2D3A456B" w14:textId="09B2F2B5" w:rsidR="00B63404" w:rsidRPr="00D36D33" w:rsidRDefault="00D82485" w:rsidP="00555781">
            <w:r>
              <w:rPr>
                <w:noProof/>
                <w:lang w:val="en-GB" w:eastAsia="en-GB"/>
              </w:rPr>
              <w:drawing>
                <wp:inline distT="0" distB="0" distL="0" distR="0" wp14:anchorId="2551BF38" wp14:editId="34CD482E">
                  <wp:extent cx="1799590" cy="1558290"/>
                  <wp:effectExtent l="0" t="0" r="0" b="3810"/>
                  <wp:docPr id="1" name="Picture 1" title="CoRLogo_HU"/>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r w:rsidR="00BF41D4" w:rsidRPr="00D36D33">
              <w:rPr>
                <w:noProof/>
                <w:lang w:val="en-GB" w:eastAsia="en-GB"/>
              </w:rPr>
              <mc:AlternateContent>
                <mc:Choice Requires="wps">
                  <w:drawing>
                    <wp:anchor distT="0" distB="0" distL="114300" distR="114300" simplePos="0" relativeHeight="251658240" behindDoc="1" locked="0" layoutInCell="0" allowOverlap="1" wp14:anchorId="7F2B6E05" wp14:editId="3115CCD1">
                      <wp:simplePos x="0" y="0"/>
                      <wp:positionH relativeFrom="page">
                        <wp:posOffset>6767830</wp:posOffset>
                      </wp:positionH>
                      <wp:positionV relativeFrom="page">
                        <wp:posOffset>10079990</wp:posOffset>
                      </wp:positionV>
                      <wp:extent cx="647700" cy="396240"/>
                      <wp:effectExtent l="0" t="0" r="0" b="381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6E66" w14:textId="77777777" w:rsidR="008C274F" w:rsidRPr="00960918" w:rsidRDefault="008C274F">
                                  <w:pPr>
                                    <w:jc w:val="center"/>
                                    <w:rPr>
                                      <w:rFonts w:ascii="Arial" w:hAnsi="Arial" w:cs="Arial"/>
                                      <w:b/>
                                      <w:bCs/>
                                      <w:sz w:val="48"/>
                                    </w:rPr>
                                  </w:pPr>
                                  <w:r>
                                    <w:rPr>
                                      <w:rFonts w:ascii="Arial" w:hAnsi="Arial"/>
                                      <w:b/>
                                      <w:bCs/>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B6E05" id="_x0000_t202" coordsize="21600,21600" o:spt="202" path="m,l,21600r21600,l21600,xe">
                      <v:stroke joinstyle="miter"/>
                      <v:path gradientshapeok="t" o:connecttype="rect"/>
                    </v:shapetype>
                    <v:shape id="Text Box 14" o:spid="_x0000_s1026" type="#_x0000_t202" style="position:absolute;left:0;text-align:left;margin-left:532.9pt;margin-top:793.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" o:allowincell="f" filled="f" stroked="f">
                      <v:textbox>
                        <w:txbxContent>
                          <w:p w14:paraId="5C316E66" w14:textId="77777777" w:rsidR="008C274F" w:rsidRPr="00960918" w:rsidRDefault="008C274F">
                            <w:pPr>
                              <w:jc w:val="center"/>
                              <w:rPr>
                                <w:rFonts w:ascii="Arial" w:hAnsi="Arial" w:cs="Arial"/>
                                <w:b/>
                                <w:bCs/>
                                <w:sz w:val="48"/>
                              </w:rPr>
                            </w:pPr>
                            <w:r>
                              <w:rPr>
                                <w:rFonts w:ascii="Arial" w:hAnsi="Arial"/>
                                <w:b/>
                                <w:bCs/>
                                <w:sz w:val="48"/>
                              </w:rPr>
                              <w:t>HU</w:t>
                            </w:r>
                          </w:p>
                        </w:txbxContent>
                      </v:textbox>
                      <w10:wrap anchorx="page" anchory="page"/>
                    </v:shape>
                  </w:pict>
                </mc:Fallback>
              </mc:AlternateContent>
            </w:r>
            <w:r w:rsidR="004F6E8B" w:rsidRPr="00D36D33">
              <w:rPr>
                <w:b/>
                <w:bCs/>
                <w:noProof/>
                <w:sz w:val="32"/>
                <w:lang w:val="en-GB" w:eastAsia="en-GB"/>
              </w:rPr>
              <w:drawing>
                <wp:anchor distT="0" distB="0" distL="114300" distR="114300" simplePos="0" relativeHeight="251657216" behindDoc="0" locked="0" layoutInCell="0" allowOverlap="0" wp14:anchorId="54DD12A6" wp14:editId="4A8F817D">
                  <wp:simplePos x="0" y="0"/>
                  <wp:positionH relativeFrom="page">
                    <wp:posOffset>899795</wp:posOffset>
                  </wp:positionH>
                  <wp:positionV relativeFrom="page">
                    <wp:posOffset>10184130</wp:posOffset>
                  </wp:positionV>
                  <wp:extent cx="5760000" cy="266400"/>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26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5" w:type="dxa"/>
          </w:tcPr>
          <w:p w14:paraId="2F85EADF" w14:textId="77777777" w:rsidR="00B63404" w:rsidRPr="00D36D33" w:rsidRDefault="00B63404" w:rsidP="00555781">
            <w:pPr>
              <w:rPr>
                <w:lang w:val="de-DE"/>
              </w:rPr>
            </w:pPr>
          </w:p>
        </w:tc>
      </w:tr>
      <w:tr w:rsidR="00076622" w:rsidRPr="00D36D33" w14:paraId="10C77347" w14:textId="77777777" w:rsidTr="00663089">
        <w:tblPrEx>
          <w:tblLook w:val="0000" w:firstRow="0" w:lastRow="0" w:firstColumn="0" w:lastColumn="0" w:noHBand="0" w:noVBand="0"/>
        </w:tblPrEx>
        <w:trPr>
          <w:cantSplit/>
        </w:trPr>
        <w:tc>
          <w:tcPr>
            <w:tcW w:w="9289" w:type="dxa"/>
            <w:gridSpan w:val="2"/>
          </w:tcPr>
          <w:p w14:paraId="10C77346" w14:textId="3D9CE850" w:rsidR="00076622" w:rsidRPr="00D36D33" w:rsidRDefault="0025575C" w:rsidP="00555781">
            <w:pPr>
              <w:jc w:val="right"/>
              <w:rPr>
                <w:b/>
                <w:bCs/>
                <w:sz w:val="28"/>
              </w:rPr>
            </w:pPr>
            <w:r>
              <w:rPr>
                <w:b/>
                <w:bCs/>
                <w:sz w:val="28"/>
              </w:rPr>
              <w:t>SEDEC/VI-043</w:t>
            </w:r>
          </w:p>
        </w:tc>
      </w:tr>
      <w:tr w:rsidR="00076622" w:rsidRPr="00D36D33" w14:paraId="10C77349" w14:textId="77777777" w:rsidTr="00663089">
        <w:tblPrEx>
          <w:tblLook w:val="0000" w:firstRow="0" w:lastRow="0" w:firstColumn="0" w:lastColumn="0" w:noHBand="0" w:noVBand="0"/>
        </w:tblPrEx>
        <w:trPr>
          <w:cantSplit/>
        </w:trPr>
        <w:tc>
          <w:tcPr>
            <w:tcW w:w="9289" w:type="dxa"/>
            <w:gridSpan w:val="2"/>
          </w:tcPr>
          <w:p w14:paraId="10C77348" w14:textId="30C2B077" w:rsidR="00076622" w:rsidRPr="00D36D33" w:rsidRDefault="0025575C" w:rsidP="00555781">
            <w:pPr>
              <w:jc w:val="center"/>
              <w:rPr>
                <w:b/>
                <w:bCs/>
                <w:sz w:val="32"/>
              </w:rPr>
            </w:pPr>
            <w:r>
              <w:rPr>
                <w:b/>
                <w:bCs/>
                <w:sz w:val="28"/>
                <w:szCs w:val="18"/>
              </w:rPr>
              <w:t>20. szakbizottsági ülés – 2018. október 18.</w:t>
            </w:r>
          </w:p>
        </w:tc>
      </w:tr>
    </w:tbl>
    <w:p w14:paraId="10C7734C" w14:textId="77777777" w:rsidR="00076622" w:rsidRPr="00D36D33" w:rsidRDefault="00076622" w:rsidP="00555781">
      <w:pPr>
        <w:rPr>
          <w:lang w:val="de-DE"/>
        </w:rPr>
      </w:pPr>
    </w:p>
    <w:p w14:paraId="10C7734D" w14:textId="77777777" w:rsidR="00076622" w:rsidRPr="00D36D33" w:rsidRDefault="00076622" w:rsidP="00555781">
      <w:pPr>
        <w:rPr>
          <w:lang w:val="de-DE"/>
        </w:rPr>
      </w:pPr>
    </w:p>
    <w:p w14:paraId="14988B4E" w14:textId="77777777" w:rsidR="004F6E8B" w:rsidRPr="00D36D33" w:rsidRDefault="00076622" w:rsidP="00555781">
      <w:pPr>
        <w:jc w:val="center"/>
        <w:rPr>
          <w:b/>
          <w:bCs/>
          <w:sz w:val="28"/>
        </w:rPr>
      </w:pPr>
      <w:r>
        <w:rPr>
          <w:b/>
          <w:bCs/>
          <w:sz w:val="28"/>
        </w:rPr>
        <w:t>VÉLEMÉNYTERVEZET</w:t>
      </w:r>
    </w:p>
    <w:p w14:paraId="47AB65A5" w14:textId="77777777" w:rsidR="004F6E8B" w:rsidRPr="00D36D33" w:rsidRDefault="004F6E8B" w:rsidP="00555781">
      <w:pPr>
        <w:rPr>
          <w:lang w:val="de-DE"/>
        </w:rPr>
      </w:pPr>
    </w:p>
    <w:p w14:paraId="1567436F" w14:textId="3340D455" w:rsidR="004F6E8B" w:rsidRPr="00527A72" w:rsidRDefault="00076622" w:rsidP="00555781">
      <w:pPr>
        <w:jc w:val="center"/>
        <w:rPr>
          <w:b/>
          <w:sz w:val="28"/>
          <w:szCs w:val="28"/>
        </w:rPr>
      </w:pPr>
      <w:r>
        <w:rPr>
          <w:b/>
          <w:sz w:val="28"/>
          <w:szCs w:val="28"/>
        </w:rPr>
        <w:t>„Szociálpolitika, oktatás, foglalkoztatás, kutatás és kultúra” szakbizottság</w:t>
      </w:r>
    </w:p>
    <w:p w14:paraId="6C00C956" w14:textId="77777777" w:rsidR="004F6E8B" w:rsidRPr="00D36D33" w:rsidRDefault="004F6E8B" w:rsidP="00555781">
      <w:pPr>
        <w:rPr>
          <w:lang w:val="de-DE"/>
        </w:rPr>
      </w:pPr>
    </w:p>
    <w:p w14:paraId="10C7734E" w14:textId="37F894A8" w:rsidR="00076622" w:rsidRPr="00D36D33" w:rsidRDefault="00E97372" w:rsidP="00555781">
      <w:pPr>
        <w:jc w:val="center"/>
        <w:rPr>
          <w:b/>
          <w:sz w:val="28"/>
          <w:szCs w:val="28"/>
        </w:rPr>
      </w:pPr>
      <w:r>
        <w:rPr>
          <w:b/>
          <w:sz w:val="28"/>
          <w:szCs w:val="28"/>
        </w:rPr>
        <w:t>Erasmus – Oktatási, képzési, ifjúsági és sportprogram</w:t>
      </w:r>
    </w:p>
    <w:p w14:paraId="10C77351" w14:textId="77777777" w:rsidR="00076622" w:rsidRPr="00D36D33" w:rsidRDefault="00076622" w:rsidP="00555781">
      <w:pPr>
        <w:rPr>
          <w:lang w:val="de-DE"/>
        </w:rPr>
      </w:pPr>
    </w:p>
    <w:p w14:paraId="10C77352" w14:textId="77777777" w:rsidR="00076622" w:rsidRPr="00D36D33" w:rsidRDefault="00076622" w:rsidP="00555781">
      <w:pPr>
        <w:rPr>
          <w:lang w:val="de-DE"/>
        </w:rPr>
      </w:pPr>
    </w:p>
    <w:tbl>
      <w:tblPr>
        <w:tblW w:w="0" w:type="auto"/>
        <w:tblLayout w:type="fixed"/>
        <w:tblLook w:val="0000" w:firstRow="0" w:lastRow="0" w:firstColumn="0" w:lastColumn="0" w:noHBand="0" w:noVBand="0"/>
      </w:tblPr>
      <w:tblGrid>
        <w:gridCol w:w="9289"/>
      </w:tblGrid>
      <w:tr w:rsidR="00076622" w:rsidRPr="00D36D33" w14:paraId="10C77357" w14:textId="77777777" w:rsidTr="00663089">
        <w:tc>
          <w:tcPr>
            <w:tcW w:w="9289" w:type="dxa"/>
          </w:tcPr>
          <w:p w14:paraId="10C77353" w14:textId="77777777" w:rsidR="00076622" w:rsidRPr="00D36D33" w:rsidRDefault="00076622" w:rsidP="00555781">
            <w:pPr>
              <w:jc w:val="center"/>
            </w:pPr>
            <w:r>
              <w:t>_____________</w:t>
            </w:r>
          </w:p>
          <w:p w14:paraId="10C77354" w14:textId="77777777" w:rsidR="00076622" w:rsidRPr="00D36D33" w:rsidRDefault="00076622" w:rsidP="00555781">
            <w:pPr>
              <w:jc w:val="center"/>
              <w:rPr>
                <w:lang w:val="de-DE"/>
              </w:rPr>
            </w:pPr>
          </w:p>
          <w:p w14:paraId="10C77355" w14:textId="4C6F80BA" w:rsidR="00076622" w:rsidRPr="00D36D33" w:rsidRDefault="00076622" w:rsidP="00555781">
            <w:pPr>
              <w:jc w:val="center"/>
              <w:rPr>
                <w:b/>
              </w:rPr>
            </w:pPr>
            <w:r>
              <w:t xml:space="preserve">Előadó: </w:t>
            </w:r>
            <w:r>
              <w:rPr>
                <w:b/>
                <w:bCs/>
              </w:rPr>
              <w:t>Ulrike Hiller (DE/PES)</w:t>
            </w:r>
          </w:p>
          <w:p w14:paraId="0716AB87" w14:textId="5B6610F6" w:rsidR="00E251EE" w:rsidRPr="00D36D33" w:rsidRDefault="00E251EE" w:rsidP="00555781">
            <w:pPr>
              <w:jc w:val="center"/>
            </w:pPr>
            <w:r>
              <w:t>Bréma Szabad Hanzaváros szenátusának szövetségi és európai ügyekért felelős tagja</w:t>
            </w:r>
          </w:p>
          <w:p w14:paraId="10C77356" w14:textId="5601AB05" w:rsidR="00076622" w:rsidRPr="00D36D33" w:rsidRDefault="00076622" w:rsidP="00555781">
            <w:pPr>
              <w:jc w:val="center"/>
            </w:pPr>
            <w:r>
              <w:t>_____________</w:t>
            </w:r>
          </w:p>
        </w:tc>
      </w:tr>
    </w:tbl>
    <w:p w14:paraId="10C77358" w14:textId="77777777" w:rsidR="00076622" w:rsidRPr="00D36D33" w:rsidRDefault="00076622" w:rsidP="00555781">
      <w:pPr>
        <w:rPr>
          <w:lang w:val="de-DE"/>
        </w:rPr>
      </w:pPr>
    </w:p>
    <w:p w14:paraId="10C77359" w14:textId="77777777" w:rsidR="00076622" w:rsidRPr="00D36D33" w:rsidRDefault="00076622" w:rsidP="00555781">
      <w:pPr>
        <w:rPr>
          <w:lang w:val="de-DE"/>
        </w:rPr>
      </w:pPr>
    </w:p>
    <w:p w14:paraId="10C7735A" w14:textId="77777777" w:rsidR="00076622" w:rsidRPr="00D36D33" w:rsidRDefault="00076622" w:rsidP="00555781">
      <w:pPr>
        <w:rPr>
          <w:lang w:val="de-DE"/>
        </w:rPr>
      </w:pPr>
    </w:p>
    <w:p w14:paraId="10C7735B" w14:textId="77777777" w:rsidR="00076622" w:rsidRPr="00D36D33" w:rsidRDefault="00076622" w:rsidP="00555781">
      <w:pPr>
        <w:rPr>
          <w:lang w:val="de-DE"/>
        </w:rPr>
      </w:pPr>
    </w:p>
    <w:p w14:paraId="10C7735C" w14:textId="77777777" w:rsidR="00076622" w:rsidRPr="00D36D33" w:rsidRDefault="00076622" w:rsidP="00555781">
      <w:pPr>
        <w:rPr>
          <w:lang w:val="de-DE"/>
        </w:rPr>
      </w:pPr>
    </w:p>
    <w:p w14:paraId="10C7735D" w14:textId="77777777" w:rsidR="00076622" w:rsidRPr="00D36D33" w:rsidRDefault="00076622" w:rsidP="00555781">
      <w:pPr>
        <w:rPr>
          <w:lang w:val="de-DE"/>
        </w:rPr>
      </w:pPr>
    </w:p>
    <w:p w14:paraId="10C7735E" w14:textId="77777777" w:rsidR="00076622" w:rsidRPr="00D36D33" w:rsidRDefault="00076622" w:rsidP="00555781">
      <w:pPr>
        <w:rPr>
          <w:lang w:val="de-DE"/>
        </w:rPr>
      </w:pPr>
    </w:p>
    <w:p w14:paraId="10C7735F" w14:textId="77777777" w:rsidR="00076622" w:rsidRPr="00D36D33" w:rsidRDefault="00076622" w:rsidP="00555781">
      <w:pPr>
        <w:rPr>
          <w:lang w:val="de-DE"/>
        </w:rPr>
      </w:pPr>
    </w:p>
    <w:p w14:paraId="10C77360" w14:textId="77777777" w:rsidR="00076622" w:rsidRPr="00D36D33" w:rsidRDefault="00076622" w:rsidP="00555781">
      <w:pPr>
        <w:rPr>
          <w:lang w:val="de-D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076622" w:rsidRPr="00D36D33" w14:paraId="10C77362" w14:textId="77777777" w:rsidTr="00663089">
        <w:tc>
          <w:tcPr>
            <w:tcW w:w="9289" w:type="dxa"/>
            <w:tcBorders>
              <w:top w:val="single" w:sz="4" w:space="0" w:color="auto"/>
              <w:bottom w:val="single" w:sz="4" w:space="0" w:color="auto"/>
            </w:tcBorders>
          </w:tcPr>
          <w:p w14:paraId="10C77361" w14:textId="53B4DAC4" w:rsidR="00076622" w:rsidRPr="00D36D33" w:rsidRDefault="00076622" w:rsidP="00555781">
            <w:pPr>
              <w:rPr>
                <w:bCs/>
                <w:iCs/>
              </w:rPr>
            </w:pPr>
            <w:r>
              <w:t>Ez a dokumentum a</w:t>
            </w:r>
            <w:r>
              <w:rPr>
                <w:b/>
              </w:rPr>
              <w:t xml:space="preserve"> „Szociálpolitika, oktatás, foglalkoztatás, kutatás és kultúra” szakbizottság október 18-án 11 órától 17:30-ig</w:t>
            </w:r>
            <w:r>
              <w:t xml:space="preserve"> tartandó ülésén kerül megvitatásra. A fordításra való tekintettel az esetleges módosító indítványokat </w:t>
            </w:r>
            <w:r>
              <w:rPr>
                <w:b/>
              </w:rPr>
              <w:t>legkésőbb október 5-én (brüsszeli idő szerint) 15 óráig</w:t>
            </w:r>
            <w:r>
              <w:t xml:space="preserve"> az erre a célra szolgáló online eszközön keresztül kell benyújtani (elérhető a tagok portáljáról: </w:t>
            </w:r>
            <w:hyperlink r:id="rId12" w:history="1">
              <w:r>
                <w:rPr>
                  <w:rStyle w:val="Hyperlink"/>
                </w:rPr>
                <w:t>https://memportal.cor.europa.eu/</w:t>
              </w:r>
            </w:hyperlink>
            <w:r>
              <w:t xml:space="preserve">). A felhasználói útmutató a </w:t>
            </w:r>
            <w:hyperlink r:id="rId13" w:history="1">
              <w:r>
                <w:rPr>
                  <w:rStyle w:val="Hyperlink"/>
                </w:rPr>
                <w:t>https://memportal.cor.europa.eu/</w:t>
              </w:r>
            </w:hyperlink>
            <w:r>
              <w:t xml:space="preserve"> címen található.</w:t>
            </w:r>
          </w:p>
        </w:tc>
      </w:tr>
    </w:tbl>
    <w:p w14:paraId="10C77363" w14:textId="77777777" w:rsidR="00076622" w:rsidRPr="00D36D33" w:rsidRDefault="00076622" w:rsidP="00555781">
      <w:pPr>
        <w:rPr>
          <w:lang w:val="de-DE"/>
        </w:rPr>
      </w:pPr>
    </w:p>
    <w:p w14:paraId="10C77364" w14:textId="77777777" w:rsidR="00076622" w:rsidRPr="00D36D33" w:rsidRDefault="00076622" w:rsidP="00555781">
      <w:pPr>
        <w:rPr>
          <w:lang w:val="de-DE"/>
        </w:rPr>
      </w:pPr>
    </w:p>
    <w:p w14:paraId="10C77365" w14:textId="77777777" w:rsidR="00076622" w:rsidRPr="00D36D33" w:rsidRDefault="00076622" w:rsidP="00555781">
      <w:pPr>
        <w:tabs>
          <w:tab w:val="left" w:pos="440"/>
        </w:tabs>
        <w:ind w:left="440" w:hanging="440"/>
        <w:rPr>
          <w:lang w:val="de-DE"/>
        </w:rPr>
        <w:sectPr w:rsidR="00076622" w:rsidRPr="00D36D33" w:rsidSect="00555781">
          <w:footerReference w:type="default" r:id="rId14"/>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076622" w:rsidRPr="00D36D33" w14:paraId="10C77369" w14:textId="77777777" w:rsidTr="00663089">
        <w:trPr>
          <w:trHeight w:val="12474"/>
        </w:trPr>
        <w:tc>
          <w:tcPr>
            <w:tcW w:w="9289" w:type="dxa"/>
            <w:vAlign w:val="bottom"/>
          </w:tcPr>
          <w:p w14:paraId="10C77366" w14:textId="090773D7" w:rsidR="00076622" w:rsidRDefault="00076622" w:rsidP="00555781">
            <w:pPr>
              <w:rPr>
                <w:u w:val="single"/>
              </w:rPr>
            </w:pPr>
            <w:r>
              <w:rPr>
                <w:u w:val="single"/>
              </w:rPr>
              <w:lastRenderedPageBreak/>
              <w:t>Referenciaszöveg:</w:t>
            </w:r>
          </w:p>
          <w:p w14:paraId="7DF3BDBE" w14:textId="77777777" w:rsidR="008C274F" w:rsidRPr="00D36D33" w:rsidRDefault="008C274F" w:rsidP="00555781">
            <w:pPr>
              <w:rPr>
                <w:u w:val="single"/>
                <w:lang w:val="de-DE"/>
              </w:rPr>
            </w:pPr>
          </w:p>
          <w:p w14:paraId="488D9247" w14:textId="77777777" w:rsidR="003A4CC4" w:rsidRPr="00D36D33" w:rsidRDefault="003A4CC4" w:rsidP="00555781">
            <w:r>
              <w:t>Javaslat európai parlamenti és tanácsi rendeletre az „Erasmus” elnevezésű uniós oktatási, képzési, ifjúsági és sportprogram létrehozásáról és az 1288/2013/EU rendelet hatályon kívül helyezéséről</w:t>
            </w:r>
          </w:p>
          <w:p w14:paraId="10C77368" w14:textId="7A318109" w:rsidR="00076622" w:rsidRPr="00D36D33" w:rsidRDefault="003A4CC4" w:rsidP="00555781">
            <w:r>
              <w:t>COM(2018) 367 final</w:t>
            </w:r>
          </w:p>
        </w:tc>
      </w:tr>
    </w:tbl>
    <w:p w14:paraId="10C7736A" w14:textId="77777777" w:rsidR="00076622" w:rsidRPr="00D36D33" w:rsidRDefault="00076622" w:rsidP="00555781">
      <w:pPr>
        <w:rPr>
          <w:lang w:val="de-DE"/>
        </w:rPr>
      </w:pPr>
    </w:p>
    <w:p w14:paraId="10C7736B" w14:textId="3AB5456D" w:rsidR="00076622" w:rsidRPr="00D36D33" w:rsidRDefault="00076622" w:rsidP="00555781">
      <w:pPr>
        <w:jc w:val="center"/>
        <w:rPr>
          <w:b/>
        </w:rPr>
      </w:pPr>
      <w:r>
        <w:br w:type="page"/>
      </w:r>
      <w:r>
        <w:rPr>
          <w:b/>
        </w:rPr>
        <w:lastRenderedPageBreak/>
        <w:t>A „Szociálpolitika, oktatás, foglalkoztatás, kutatás és kultúra” szakbizottság véleménytervezete</w:t>
      </w:r>
      <w:r>
        <w:rPr>
          <w:b/>
        </w:rPr>
        <w:br/>
        <w:t>Erasmus – Oktatási, képzési, ifjúsági és sportprogram</w:t>
      </w:r>
    </w:p>
    <w:p w14:paraId="10C7736C" w14:textId="77777777" w:rsidR="00606B5A" w:rsidRPr="00D36D33" w:rsidRDefault="00606B5A" w:rsidP="00555781">
      <w:pPr>
        <w:rPr>
          <w:lang w:val="de-DE"/>
        </w:rPr>
      </w:pPr>
    </w:p>
    <w:p w14:paraId="10C7736D" w14:textId="77777777" w:rsidR="00606B5A" w:rsidRPr="00D36D33" w:rsidRDefault="00606B5A" w:rsidP="00555781">
      <w:pPr>
        <w:keepNext/>
        <w:numPr>
          <w:ilvl w:val="0"/>
          <w:numId w:val="22"/>
        </w:numPr>
        <w:ind w:left="567" w:hanging="567"/>
        <w:rPr>
          <w:b/>
          <w:bCs/>
        </w:rPr>
      </w:pPr>
      <w:r>
        <w:rPr>
          <w:b/>
          <w:bCs/>
        </w:rPr>
        <w:t>MÓDOSÍTÁSOKRA VONATKOZÓ AJÁNLÁSOK</w:t>
      </w:r>
    </w:p>
    <w:p w14:paraId="10C7736E" w14:textId="77777777" w:rsidR="00606B5A" w:rsidRPr="00D36D33" w:rsidRDefault="00606B5A" w:rsidP="00555781">
      <w:pPr>
        <w:keepNext/>
        <w:rPr>
          <w:lang w:val="de-DE"/>
        </w:rPr>
      </w:pPr>
    </w:p>
    <w:p w14:paraId="06A2827F" w14:textId="77777777" w:rsidR="003B2BB4" w:rsidRPr="00D36D33" w:rsidRDefault="003B2BB4" w:rsidP="00555781">
      <w:pPr>
        <w:ind w:left="360"/>
        <w:jc w:val="center"/>
      </w:pPr>
      <w:r>
        <w:rPr>
          <w:b/>
        </w:rPr>
        <w:t>1. módosítás</w:t>
      </w:r>
    </w:p>
    <w:p w14:paraId="2374E7AE" w14:textId="77777777" w:rsidR="003B2BB4" w:rsidRPr="00D36D33" w:rsidRDefault="003B2BB4" w:rsidP="00555781">
      <w:pPr>
        <w:ind w:left="360"/>
        <w:jc w:val="center"/>
      </w:pPr>
      <w:r>
        <w:rPr>
          <w:b/>
        </w:rPr>
        <w:t>(4) preambulumbekezdés</w:t>
      </w:r>
    </w:p>
    <w:p w14:paraId="56E8B1C3" w14:textId="77777777" w:rsidR="003B2BB4" w:rsidRPr="00D36D33" w:rsidRDefault="003B2BB4" w:rsidP="00555781">
      <w:pPr>
        <w:ind w:left="360"/>
        <w:rPr>
          <w:lang w:val="de-DE"/>
        </w:rPr>
      </w:pPr>
    </w:p>
    <w:tbl>
      <w:tblPr>
        <w:tblW w:w="9286" w:type="dxa"/>
        <w:tblLayout w:type="fixed"/>
        <w:tblLook w:val="0000" w:firstRow="0" w:lastRow="0" w:firstColumn="0" w:lastColumn="0" w:noHBand="0" w:noVBand="0"/>
      </w:tblPr>
      <w:tblGrid>
        <w:gridCol w:w="4640"/>
        <w:gridCol w:w="4646"/>
      </w:tblGrid>
      <w:tr w:rsidR="003B2BB4" w:rsidRPr="00D36D33" w14:paraId="0AE6843E" w14:textId="77777777" w:rsidTr="008C274F">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7F85E7B" w14:textId="77777777" w:rsidR="003B2BB4" w:rsidRPr="00D36D33" w:rsidRDefault="003B2BB4" w:rsidP="00555781">
            <w:pPr>
              <w:contextualSpacing/>
              <w:jc w:val="center"/>
            </w:pPr>
            <w:r>
              <w:rPr>
                <w:b/>
                <w:i/>
              </w:rPr>
              <w:t>Az Európai Bizottság által javasolt szöveg</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E4D69F4" w14:textId="77777777" w:rsidR="003B2BB4" w:rsidRPr="00D36D33" w:rsidRDefault="003B2BB4" w:rsidP="00555781">
            <w:pPr>
              <w:contextualSpacing/>
              <w:jc w:val="center"/>
            </w:pPr>
            <w:r>
              <w:rPr>
                <w:b/>
                <w:i/>
              </w:rPr>
              <w:t xml:space="preserve">Az RB módosítása </w:t>
            </w:r>
          </w:p>
        </w:tc>
      </w:tr>
      <w:tr w:rsidR="003B2BB4" w:rsidRPr="00D36D33" w14:paraId="44702296"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86C06C1" w14:textId="69BCBA79" w:rsidR="003B2BB4" w:rsidRPr="00D36D33" w:rsidRDefault="003B2BB4" w:rsidP="00555781">
            <w:pPr>
              <w:ind w:right="85"/>
              <w:contextualSpacing/>
            </w:pPr>
            <w:r>
              <w:t xml:space="preserve">A szociális jogok európai pillére ‒ amelyet az Európai Parlament, a Tanács és a Bizottság 2017. november 17-én jelentett be ünnepélyesen és írt alá ‒ első alapelvként rögzíti, hogy mindenkinek joga van a minőségi és inkluzív oktatáshoz, képzéshez és az egész életen át tartó tanuláshoz annak érdekében, hogy olyan készségeket tartson, illetve szerezzen meg, amelyek lehetővé teszik számára, hogy teljes mértékben részt vehessen a társadalomban és sikeresen alkalmazkodjon a munkaerőpiaci változásokhoz. </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34BF7D9" w14:textId="22B15F21" w:rsidR="003B2BB4" w:rsidRPr="00D36D33" w:rsidRDefault="003B2BB4" w:rsidP="00555781">
            <w:pPr>
              <w:ind w:right="85"/>
              <w:contextualSpacing/>
            </w:pPr>
            <w:r>
              <w:t xml:space="preserve">A szociális jogok európai pillére ‒ amelyet az Európai Parlament, a Tanács és a Bizottság 2017. november 17-én jelentett be ünnepélyesen és írt alá ‒ első alapelvként rögzíti, hogy mindenkinek joga van a minőségi és inkluzív oktatáshoz, képzéshez és az egész életen át tartó tanuláshoz annak érdekében, hogy olyan készségeket tartson, illetve szerezzen meg, amelyek lehetővé teszik számára, hogy teljes mértékben részt vehessen a társadalomban és sikeresen alkalmazkodjon a munkaerőpiaci változásokhoz. </w:t>
            </w:r>
            <w:r>
              <w:rPr>
                <w:b/>
                <w:i/>
              </w:rPr>
              <w:t>Ez különösen mindazon fiatalok számára bír jelentőséggel Európában, akik jelenleg nincsenek foglalkoztatva.</w:t>
            </w:r>
          </w:p>
        </w:tc>
      </w:tr>
    </w:tbl>
    <w:p w14:paraId="1CEBBDC5"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01A96418" w14:textId="77777777" w:rsidTr="00F83EAE">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ADBE9EA" w14:textId="77777777" w:rsidR="003B2BB4" w:rsidRPr="00D36D33" w:rsidRDefault="003B2BB4" w:rsidP="00555781">
            <w:pPr>
              <w:contextualSpacing/>
              <w:jc w:val="center"/>
            </w:pPr>
            <w:r>
              <w:rPr>
                <w:b/>
                <w:i/>
              </w:rPr>
              <w:t>Indokolás</w:t>
            </w:r>
          </w:p>
        </w:tc>
      </w:tr>
      <w:tr w:rsidR="003B2BB4" w:rsidRPr="00D36D33" w14:paraId="526F231B"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A719507" w14:textId="573533C6" w:rsidR="003B2BB4" w:rsidRPr="00D36D33" w:rsidRDefault="003B2BB4" w:rsidP="00555781">
            <w:pPr>
              <w:contextualSpacing/>
            </w:pPr>
            <w:r>
              <w:t>Magától értetődik.</w:t>
            </w:r>
          </w:p>
        </w:tc>
      </w:tr>
    </w:tbl>
    <w:p w14:paraId="570F8A94" w14:textId="77777777" w:rsidR="003B2BB4" w:rsidRPr="00D36D33" w:rsidRDefault="003B2BB4" w:rsidP="00555781">
      <w:pPr>
        <w:ind w:left="360"/>
        <w:rPr>
          <w:lang w:val="de-DE"/>
        </w:rPr>
      </w:pPr>
    </w:p>
    <w:p w14:paraId="0A4424D0" w14:textId="77777777" w:rsidR="003B2BB4" w:rsidRPr="00D36D33" w:rsidRDefault="003B2BB4" w:rsidP="00555781">
      <w:pPr>
        <w:ind w:left="360"/>
        <w:jc w:val="center"/>
      </w:pPr>
      <w:r>
        <w:rPr>
          <w:b/>
        </w:rPr>
        <w:t>2. módosítás</w:t>
      </w:r>
    </w:p>
    <w:p w14:paraId="7344F941" w14:textId="77777777" w:rsidR="003B2BB4" w:rsidRPr="00D36D33" w:rsidRDefault="003B2BB4" w:rsidP="00555781">
      <w:pPr>
        <w:ind w:left="360"/>
        <w:jc w:val="center"/>
      </w:pPr>
      <w:r>
        <w:rPr>
          <w:b/>
        </w:rPr>
        <w:t>(8) preambulumbekezdés</w:t>
      </w:r>
    </w:p>
    <w:p w14:paraId="381B2D92" w14:textId="77777777" w:rsidR="003B2BB4" w:rsidRPr="00D36D33" w:rsidRDefault="003B2BB4" w:rsidP="00555781">
      <w:pPr>
        <w:ind w:left="360"/>
        <w:rPr>
          <w:lang w:val="de-DE"/>
        </w:rPr>
      </w:pPr>
    </w:p>
    <w:tbl>
      <w:tblPr>
        <w:tblW w:w="9286" w:type="dxa"/>
        <w:tblLayout w:type="fixed"/>
        <w:tblCellMar>
          <w:left w:w="10" w:type="dxa"/>
          <w:right w:w="10" w:type="dxa"/>
        </w:tblCellMar>
        <w:tblLook w:val="0000" w:firstRow="0" w:lastRow="0" w:firstColumn="0" w:lastColumn="0" w:noHBand="0" w:noVBand="0"/>
      </w:tblPr>
      <w:tblGrid>
        <w:gridCol w:w="4640"/>
        <w:gridCol w:w="4646"/>
      </w:tblGrid>
      <w:tr w:rsidR="003B2BB4" w:rsidRPr="00D36D33" w14:paraId="6413FD61" w14:textId="77777777" w:rsidTr="00F83EAE">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5B016BB" w14:textId="77777777" w:rsidR="003B2BB4" w:rsidRPr="00D36D33" w:rsidRDefault="003B2BB4" w:rsidP="00555781">
            <w:pPr>
              <w:contextualSpacing/>
              <w:jc w:val="center"/>
            </w:pPr>
            <w:r>
              <w:rPr>
                <w:b/>
                <w:i/>
              </w:rPr>
              <w:t>Az Európai Bizottság által javasolt szöveg</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F64AB7F" w14:textId="77777777" w:rsidR="003B2BB4" w:rsidRPr="00D36D33" w:rsidRDefault="003B2BB4" w:rsidP="00555781">
            <w:pPr>
              <w:contextualSpacing/>
              <w:jc w:val="center"/>
            </w:pPr>
            <w:r>
              <w:rPr>
                <w:b/>
                <w:i/>
              </w:rPr>
              <w:t xml:space="preserve">Az RB módosítása </w:t>
            </w:r>
          </w:p>
        </w:tc>
      </w:tr>
      <w:tr w:rsidR="003B2BB4" w:rsidRPr="00D36D33" w14:paraId="531386D3"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DEC4EB3" w14:textId="09A7E5D6" w:rsidR="003B2BB4" w:rsidRPr="00D36D33" w:rsidRDefault="003B2BB4" w:rsidP="00555781">
            <w:pPr>
              <w:ind w:right="85"/>
              <w:contextualSpacing/>
            </w:pPr>
            <w:r>
              <w:t xml:space="preserve">A „Modern költségvetés a polgárainak védelmet, biztonságot és lehetőségeket nyújtó Unió számára – A 2021–2027-es időszakra vonatkozó többéves pénzügyi keret” című, 2018. május 2-án elfogadott közleményében a Bizottság azt szorgalmazta, hogy a következő pénzügyi keretben nagyobb hangsúlyt kell fektetni az ifjúsági ügyekre, különösen a 2014 és 2020 közötti időszakra szóló Erasmus+ program ‒ az Unió egyik leglátványosabb sikertörténete ‒ méretének több mint kétszeresére növelése révén. Az új programnak az inkluzivitásra kell helyeznie a hangsúlyt, valamint arra, hogy minél több olyan fiatalt érjen el, akik kevesebb </w:t>
            </w:r>
            <w:r>
              <w:lastRenderedPageBreak/>
              <w:t xml:space="preserve">lehetőséggel rendelkeznek, mint társaik. Ezáltal több fiatal számára válhat lehetővé, hogy tanulás vagy munka céljából más országba költözzön. </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D94086A" w14:textId="147715DB" w:rsidR="003B2BB4" w:rsidRPr="00D36D33" w:rsidRDefault="003B2BB4" w:rsidP="00555781">
            <w:pPr>
              <w:ind w:right="85"/>
              <w:contextualSpacing/>
            </w:pPr>
            <w:r>
              <w:lastRenderedPageBreak/>
              <w:t xml:space="preserve">A „Modern költségvetés a polgárainak védelmet, biztonságot és lehetőségeket nyújtó Unió számára – A 2021–2027-es időszakra vonatkozó többéves pénzügyi keret” című, 2018. május 2-án elfogadott közleményében a Bizottság azt szorgalmazta, hogy a következő pénzügyi keretben nagyobb hangsúlyt kell fektetni az ifjúsági ügyekre, különösen a 2014 és 2020 közötti időszakra szóló Erasmus+ program ‒ az Unió egyik leglátványosabb sikertörténete ‒ méretének több mint kétszeresére növelése révén. Az új programnak az inkluzivitásra kell helyeznie a hangsúlyt, valamint arra, hogy minél több olyan fiatalt érjen el, akik kevesebb </w:t>
            </w:r>
            <w:r>
              <w:lastRenderedPageBreak/>
              <w:t xml:space="preserve">lehetőséggel rendelkeznek, mint társaik. Ezáltal több fiatal számára válhat lehetővé, hogy tanulás vagy munka céljából más országba költözzön. </w:t>
            </w:r>
            <w:r>
              <w:rPr>
                <w:b/>
                <w:i/>
              </w:rPr>
              <w:t>Annak az elvnek a mielőbbi megvalósítása érdekében, hogy európai projektben való részvétel nélkül ne legyen lehetséges egy képzés vagy szakképzés elvégzése, a programnak figyelembe kell vennie az iskolarendszeren kívüli oktatásban, valamint a szakképzésben és az általános képzésben dolgozó személyzet célzott megszólítását, motiválását és képzését is, hogy lehetőleg sok fiatalt tudjanak motiválni.</w:t>
            </w:r>
          </w:p>
        </w:tc>
      </w:tr>
    </w:tbl>
    <w:p w14:paraId="2F282EF6"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5BDC8972" w14:textId="77777777" w:rsidTr="00F83EAE">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39E52D5" w14:textId="77777777" w:rsidR="003B2BB4" w:rsidRPr="00D36D33" w:rsidRDefault="003B2BB4" w:rsidP="00555781">
            <w:pPr>
              <w:contextualSpacing/>
              <w:jc w:val="center"/>
            </w:pPr>
            <w:r>
              <w:rPr>
                <w:b/>
                <w:i/>
              </w:rPr>
              <w:t>Indokolás</w:t>
            </w:r>
          </w:p>
        </w:tc>
      </w:tr>
      <w:tr w:rsidR="003B2BB4" w:rsidRPr="00D36D33" w14:paraId="13577E44"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691D2F9" w14:textId="77777777" w:rsidR="003B2BB4" w:rsidRPr="00D36D33" w:rsidRDefault="003B2BB4" w:rsidP="00555781">
            <w:pPr>
              <w:ind w:right="85"/>
              <w:contextualSpacing/>
            </w:pPr>
            <w:r>
              <w:t>Mivel a kevesebb lehetőséggel rendelkező embereket megcélzó, iskolarendszeren kívüli oktatásban, valamint szakképzésben és általános képzésben dolgozó személyzet a „kapuőr” feladatát látja el, elkerülhetetlen, hogy az ő képzésükbe is befektessenek.</w:t>
            </w:r>
          </w:p>
        </w:tc>
      </w:tr>
    </w:tbl>
    <w:p w14:paraId="21A3FC02" w14:textId="77777777" w:rsidR="003B2BB4" w:rsidRPr="00D36D33" w:rsidRDefault="003B2BB4" w:rsidP="00555781">
      <w:pPr>
        <w:ind w:left="360"/>
        <w:rPr>
          <w:lang w:val="de-DE"/>
        </w:rPr>
      </w:pPr>
    </w:p>
    <w:p w14:paraId="2B078C0E" w14:textId="77777777" w:rsidR="003B2BB4" w:rsidRPr="00D36D33" w:rsidRDefault="003B2BB4" w:rsidP="00555781">
      <w:pPr>
        <w:ind w:left="360"/>
        <w:jc w:val="center"/>
      </w:pPr>
      <w:r>
        <w:rPr>
          <w:b/>
        </w:rPr>
        <w:t>3. módosítás</w:t>
      </w:r>
    </w:p>
    <w:p w14:paraId="5B94B8D2" w14:textId="77777777" w:rsidR="003B2BB4" w:rsidRPr="00D36D33" w:rsidRDefault="003B2BB4" w:rsidP="00555781">
      <w:pPr>
        <w:ind w:left="360"/>
        <w:jc w:val="center"/>
      </w:pPr>
      <w:r>
        <w:rPr>
          <w:b/>
        </w:rPr>
        <w:t>(9) preambulumbekezdés</w:t>
      </w:r>
    </w:p>
    <w:p w14:paraId="738331EB" w14:textId="77777777" w:rsidR="003B2BB4" w:rsidRPr="00D36D33" w:rsidRDefault="003B2BB4" w:rsidP="00555781">
      <w:pPr>
        <w:ind w:left="360"/>
        <w:rPr>
          <w:lang w:val="de-DE"/>
        </w:rPr>
      </w:pPr>
    </w:p>
    <w:tbl>
      <w:tblPr>
        <w:tblW w:w="9286" w:type="dxa"/>
        <w:tblLayout w:type="fixed"/>
        <w:tblCellMar>
          <w:left w:w="10" w:type="dxa"/>
          <w:right w:w="10" w:type="dxa"/>
        </w:tblCellMar>
        <w:tblLook w:val="0000" w:firstRow="0" w:lastRow="0" w:firstColumn="0" w:lastColumn="0" w:noHBand="0" w:noVBand="0"/>
      </w:tblPr>
      <w:tblGrid>
        <w:gridCol w:w="4640"/>
        <w:gridCol w:w="4646"/>
      </w:tblGrid>
      <w:tr w:rsidR="003B2BB4" w:rsidRPr="00D36D33" w14:paraId="2CDA6B55" w14:textId="77777777" w:rsidTr="00F83EAE">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B1EF837" w14:textId="77777777" w:rsidR="003B2BB4" w:rsidRPr="00D36D33" w:rsidRDefault="003B2BB4" w:rsidP="00555781">
            <w:pPr>
              <w:contextualSpacing/>
              <w:jc w:val="center"/>
            </w:pPr>
            <w:r>
              <w:rPr>
                <w:b/>
                <w:i/>
              </w:rPr>
              <w:t>Az Európai Bizottság által javasolt szöveg</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E25026A" w14:textId="77777777" w:rsidR="003B2BB4" w:rsidRPr="00D36D33" w:rsidRDefault="003B2BB4" w:rsidP="00555781">
            <w:pPr>
              <w:contextualSpacing/>
              <w:jc w:val="center"/>
            </w:pPr>
            <w:r>
              <w:rPr>
                <w:b/>
                <w:i/>
              </w:rPr>
              <w:t xml:space="preserve">Az RB módosítása </w:t>
            </w:r>
          </w:p>
        </w:tc>
      </w:tr>
      <w:tr w:rsidR="003B2BB4" w:rsidRPr="00D36D33" w14:paraId="35700588"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2547904" w14:textId="68CEE348" w:rsidR="003B2BB4" w:rsidRPr="00D36D33" w:rsidRDefault="003B2BB4" w:rsidP="00555781">
            <w:pPr>
              <w:ind w:right="85"/>
              <w:contextualSpacing/>
            </w:pPr>
            <w:r>
              <w:t xml:space="preserve">Ezzel összefüggésben létre kell hozni az 1288/2013/EU európai parlamenti és tanácsi rendelettel létrehozott, a 2014 és 2020 közötti időszakra szóló Erasmus+ program oktatással, képzéssel, ifjúsággal és sporttal kapcsolatos utódprogramját (a továbbiakban: program). Meg kell őrizni a 2014‒2020-as program integrált jellegét, amely a tanulás valamennyi aspektusára kiterjed (formális, nem formális és informális, az összes életszakaszt átfogó tanulás), hogy ezzel ösztönözhetők legyenek a rugalmas tanulási pályák, melyek lehetővé teszik az egyén számára a 21. századi kihívásoknak való megfeleléshez szükséges képességek fejlesztését. </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0DB35FD4" w14:textId="008526D6" w:rsidR="003B2BB4" w:rsidRPr="00D36D33" w:rsidRDefault="003B2BB4" w:rsidP="00555781">
            <w:pPr>
              <w:ind w:right="85"/>
              <w:contextualSpacing/>
            </w:pPr>
            <w:r>
              <w:t xml:space="preserve">Ezzel összefüggésben létre kell hozni az 1288/2013/EU európai parlamenti és tanácsi rendelettel létrehozott, a 2014 és 2020 közötti időszakra szóló Erasmus+ program oktatással, képzéssel, ifjúsággal és sporttal kapcsolatos utódprogramját (a továbbiakban: program). Meg kell őrizni a 2014‒2020-as program integrált jellegét, amely a tanulás valamennyi aspektusára kiterjed (formális, nem formális és informális, az összes életszakaszt átfogó tanulás), hogy ezzel ösztönözhetők legyenek a rugalmas tanulási pályák, melyek lehetővé teszik az egyén számára </w:t>
            </w:r>
            <w:r>
              <w:rPr>
                <w:b/>
                <w:i/>
              </w:rPr>
              <w:t xml:space="preserve">olyan tanulási tapasztalatok megszerzését, amelyek erősítik az európai identitás és Európa kulturális sokszínűsége megértését, és ezáltal </w:t>
            </w:r>
            <w:r>
              <w:t xml:space="preserve">a 21. századi kihívásoknak való megfeleléshez szükséges képességek fejlesztését. </w:t>
            </w:r>
          </w:p>
        </w:tc>
      </w:tr>
    </w:tbl>
    <w:p w14:paraId="2591111E"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65E3561D" w14:textId="77777777" w:rsidTr="00F83EAE">
        <w:trPr>
          <w:trHeight w:val="75"/>
        </w:trPr>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5E10E03" w14:textId="77777777" w:rsidR="003B2BB4" w:rsidRPr="00D36D33" w:rsidRDefault="003B2BB4" w:rsidP="00555781">
            <w:pPr>
              <w:keepNext/>
              <w:contextualSpacing/>
              <w:jc w:val="center"/>
            </w:pPr>
            <w:r>
              <w:rPr>
                <w:b/>
                <w:i/>
              </w:rPr>
              <w:t>Indokolás</w:t>
            </w:r>
          </w:p>
        </w:tc>
      </w:tr>
      <w:tr w:rsidR="003B2BB4" w:rsidRPr="00D36D33" w14:paraId="01F03471"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D6B8C3F" w14:textId="77777777" w:rsidR="003B2BB4" w:rsidRPr="00D36D33" w:rsidRDefault="003B2BB4" w:rsidP="00555781">
            <w:pPr>
              <w:ind w:right="85"/>
              <w:contextualSpacing/>
            </w:pPr>
            <w:r>
              <w:t xml:space="preserve">Egyértelműen meg kell fogalmazni azt, hogy a más európai országokban szerzett tanulási tapasztalatok jelentős ösztönzést adnak a jövőorientált szakmai kompetenciák fejlődésének, és szorosan összefüggenek az európai identitás kialakulásával. </w:t>
            </w:r>
          </w:p>
        </w:tc>
      </w:tr>
    </w:tbl>
    <w:p w14:paraId="77188793" w14:textId="77777777" w:rsidR="003B2BB4" w:rsidRPr="00D36D33" w:rsidRDefault="003B2BB4" w:rsidP="00555781">
      <w:pPr>
        <w:ind w:left="360"/>
        <w:rPr>
          <w:lang w:val="de-DE"/>
        </w:rPr>
      </w:pPr>
    </w:p>
    <w:p w14:paraId="7CFAB944" w14:textId="77777777" w:rsidR="003B2BB4" w:rsidRPr="00D36D33" w:rsidRDefault="003B2BB4" w:rsidP="00555781">
      <w:pPr>
        <w:ind w:left="360"/>
        <w:jc w:val="center"/>
      </w:pPr>
      <w:r>
        <w:rPr>
          <w:b/>
        </w:rPr>
        <w:lastRenderedPageBreak/>
        <w:t>4. módosítás</w:t>
      </w:r>
    </w:p>
    <w:p w14:paraId="39A24F81" w14:textId="77777777" w:rsidR="003B2BB4" w:rsidRPr="00D36D33" w:rsidRDefault="003B2BB4" w:rsidP="00555781">
      <w:pPr>
        <w:ind w:left="360"/>
        <w:jc w:val="center"/>
      </w:pPr>
      <w:r>
        <w:rPr>
          <w:b/>
        </w:rPr>
        <w:t>(10) preambulumbekezdés</w:t>
      </w:r>
    </w:p>
    <w:p w14:paraId="22D0E48D" w14:textId="77777777" w:rsidR="003B2BB4" w:rsidRPr="00D36D33" w:rsidRDefault="003B2BB4" w:rsidP="00555781">
      <w:pPr>
        <w:ind w:left="360"/>
        <w:rPr>
          <w:lang w:val="de-DE"/>
        </w:rPr>
      </w:pPr>
    </w:p>
    <w:tbl>
      <w:tblPr>
        <w:tblW w:w="9206" w:type="dxa"/>
        <w:tblLayout w:type="fixed"/>
        <w:tblCellMar>
          <w:left w:w="10" w:type="dxa"/>
          <w:right w:w="10" w:type="dxa"/>
        </w:tblCellMar>
        <w:tblLook w:val="0000" w:firstRow="0" w:lastRow="0" w:firstColumn="0" w:lastColumn="0" w:noHBand="0" w:noVBand="0"/>
      </w:tblPr>
      <w:tblGrid>
        <w:gridCol w:w="4640"/>
        <w:gridCol w:w="4566"/>
      </w:tblGrid>
      <w:tr w:rsidR="003B2BB4" w:rsidRPr="00D36D33" w14:paraId="29462BD3" w14:textId="77777777" w:rsidTr="00F83EAE">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2DCC326" w14:textId="77777777" w:rsidR="003B2BB4" w:rsidRPr="00D36D33" w:rsidRDefault="003B2BB4" w:rsidP="00555781">
            <w:pPr>
              <w:contextualSpacing/>
              <w:jc w:val="center"/>
            </w:pPr>
            <w:r>
              <w:rPr>
                <w:b/>
                <w:i/>
              </w:rPr>
              <w:t>Az Európai Bizottság által javasolt szöveg</w:t>
            </w:r>
          </w:p>
        </w:tc>
        <w:tc>
          <w:tcPr>
            <w:tcW w:w="456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A375F0C" w14:textId="77777777" w:rsidR="003B2BB4" w:rsidRPr="00D36D33" w:rsidRDefault="003B2BB4" w:rsidP="00555781">
            <w:pPr>
              <w:contextualSpacing/>
              <w:jc w:val="center"/>
            </w:pPr>
            <w:r>
              <w:rPr>
                <w:b/>
                <w:i/>
              </w:rPr>
              <w:t xml:space="preserve">Az RB módosítása </w:t>
            </w:r>
          </w:p>
        </w:tc>
      </w:tr>
      <w:tr w:rsidR="003B2BB4" w:rsidRPr="00D36D33" w14:paraId="4133D8B1"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040BF6AD" w14:textId="77777777" w:rsidR="003B2BB4" w:rsidRPr="00D36D33" w:rsidRDefault="003B2BB4" w:rsidP="00555781">
            <w:pPr>
              <w:ind w:right="85"/>
              <w:contextualSpacing/>
            </w:pPr>
            <w:r>
              <w:t>A programot fel kell ruházni a megfelelő eszközökkel, hogy még nagyobb mértékben hozzá tudjon járulni az Unió szakpolitikai célkitűzéseinek és prioritásainak megvalósításához az oktatás, képzés, ifjúságpolitika és sport terén. Az egész életen át tartó tanulással kapcsolatos egységes megközelítés központi jelentőségű abból a szempontból, hogy az emberek alkalmazkodni tudjanak az életük során bekövetkező különböző változásokhoz. Az említett megközelítés előmozdítása érdekében a következő programnak is szoros kapcsolatot kell fenntartania az oktatással, képzéssel, ifjúsággal és sporttal kapcsolatos uniós szakpolitikai együttműködésre vonatkozó átfogó stratégiai kerettel, többek között az iskolákra, a felsőoktatásra, a szakképzésre és a felnőttkori tanulásra vonatkozó szakpolitikai menetrendekkel, ugyanakkor meg kell erősíteni a szinergiákat és újakat kell létrehozni más kapcsolódó uniós programokkal és szakpolitikai területekkel.</w:t>
            </w:r>
          </w:p>
        </w:tc>
        <w:tc>
          <w:tcPr>
            <w:tcW w:w="456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A030717" w14:textId="77777777" w:rsidR="003B2BB4" w:rsidRPr="00D36D33" w:rsidRDefault="003B2BB4" w:rsidP="00555781">
            <w:pPr>
              <w:ind w:right="85"/>
              <w:contextualSpacing/>
            </w:pPr>
            <w:r>
              <w:t xml:space="preserve">A programot fel kell ruházni a megfelelő eszközökkel, hogy még nagyobb mértékben hozzá tudjon járulni az Unió szakpolitikai célkitűzéseinek és prioritásainak megvalósításához az oktatás, képzés, ifjúságpolitika és sport terén. </w:t>
            </w:r>
            <w:r>
              <w:rPr>
                <w:b/>
                <w:i/>
              </w:rPr>
              <w:t xml:space="preserve">Ugyanis a regionális identitás után az európai identitásnak és ehhez kapcsolódóan az összetartozás érzésének az erősítése különösen fontos egy olyan időpontban, amikor az Unió mint összekapcsoló egység alapját és európai identitásunk részét képező közös értékek állnak kihívás előtt. Ezzel kapcsolatban egyre nagyobb jelentőségű a polgároknak az Unió jövője mellett való elkötelezettsége, különösen helyi és regionális szinten. </w:t>
            </w:r>
            <w:r>
              <w:t>Az egész életen át tartó tanulással kapcsolatos egységes megközelítés központi jelentőségű abból a szempontból, hogy az emberek alkalmazkodni tudjanak az életük során bekövetkező különböző változásokhoz. Az említett megközelítés előmozdítása érdekében a következő programnak is szoros kapcsolatot kell fenntartania az oktatással, képzéssel, ifjúsággal és sporttal kapcsolatos uniós szakpolitikai együttműködésre vonatkozó átfogó stratégiai kerettel, többek között az iskolákra, a felsőoktatásra, a szakképzésre és a felnőttkori tanulásra vonatkozó szakpolitikai menetrendekkel, ugyanakkor meg kell erősíteni a szinergiákat és újakat kell létrehozni más kapcsolódó uniós programokkal és szakpolitikai területekkel.</w:t>
            </w:r>
          </w:p>
        </w:tc>
      </w:tr>
    </w:tbl>
    <w:p w14:paraId="7D0CE83F"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147BC3B6" w14:textId="77777777" w:rsidTr="00F83EAE">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336B2F1" w14:textId="77777777" w:rsidR="003B2BB4" w:rsidRPr="00D36D33" w:rsidRDefault="003B2BB4" w:rsidP="00555781">
            <w:pPr>
              <w:contextualSpacing/>
              <w:jc w:val="center"/>
            </w:pPr>
            <w:r>
              <w:rPr>
                <w:b/>
                <w:i/>
              </w:rPr>
              <w:t>Indokolás</w:t>
            </w:r>
          </w:p>
        </w:tc>
      </w:tr>
      <w:tr w:rsidR="003B2BB4" w:rsidRPr="00D36D33" w14:paraId="58A56A2F"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B0FCFD7" w14:textId="77777777" w:rsidR="003B2BB4" w:rsidRPr="00D36D33" w:rsidRDefault="003B2BB4" w:rsidP="00555781">
            <w:pPr>
              <w:ind w:right="85"/>
              <w:contextualSpacing/>
            </w:pPr>
            <w:r>
              <w:t>A javasolt kiegészítés – az oktatási miniszterek párizsi nyilatkozata értelmében – hangsúlyozza „Unió politikai céljainak és prioritásainak” sürgősségét, és pontosítja a kijelölt irányt.</w:t>
            </w:r>
          </w:p>
        </w:tc>
      </w:tr>
    </w:tbl>
    <w:p w14:paraId="34BFEC8B" w14:textId="77777777" w:rsidR="003B2BB4" w:rsidRPr="00D36D33" w:rsidRDefault="003B2BB4" w:rsidP="00555781">
      <w:pPr>
        <w:ind w:left="360"/>
        <w:rPr>
          <w:rFonts w:eastAsia="Calibri"/>
          <w:b/>
          <w:lang w:val="de-DE"/>
        </w:rPr>
      </w:pPr>
    </w:p>
    <w:p w14:paraId="41E2591A" w14:textId="77777777" w:rsidR="003B2BB4" w:rsidRPr="00D36D33" w:rsidRDefault="003B2BB4" w:rsidP="00527A72">
      <w:pPr>
        <w:keepNext/>
        <w:ind w:left="360"/>
        <w:jc w:val="center"/>
      </w:pPr>
      <w:r>
        <w:rPr>
          <w:b/>
        </w:rPr>
        <w:lastRenderedPageBreak/>
        <w:t>5. módosítás</w:t>
      </w:r>
    </w:p>
    <w:p w14:paraId="238114A9" w14:textId="77777777" w:rsidR="003B2BB4" w:rsidRPr="00D36D33" w:rsidRDefault="003B2BB4" w:rsidP="00527A72">
      <w:pPr>
        <w:keepNext/>
        <w:ind w:left="360"/>
        <w:jc w:val="center"/>
      </w:pPr>
      <w:r>
        <w:rPr>
          <w:b/>
        </w:rPr>
        <w:t>(11) preambulumbekezdés</w:t>
      </w:r>
    </w:p>
    <w:p w14:paraId="2A02658C" w14:textId="77777777" w:rsidR="003B2BB4" w:rsidRPr="00D36D33" w:rsidRDefault="003B2BB4" w:rsidP="00527A72">
      <w:pPr>
        <w:keepNext/>
        <w:ind w:left="360"/>
        <w:rPr>
          <w:lang w:val="de-DE"/>
        </w:rPr>
      </w:pPr>
    </w:p>
    <w:tbl>
      <w:tblPr>
        <w:tblW w:w="9286" w:type="dxa"/>
        <w:tblLayout w:type="fixed"/>
        <w:tblCellMar>
          <w:left w:w="10" w:type="dxa"/>
          <w:right w:w="10" w:type="dxa"/>
        </w:tblCellMar>
        <w:tblLook w:val="0000" w:firstRow="0" w:lastRow="0" w:firstColumn="0" w:lastColumn="0" w:noHBand="0" w:noVBand="0"/>
      </w:tblPr>
      <w:tblGrid>
        <w:gridCol w:w="4640"/>
        <w:gridCol w:w="4646"/>
      </w:tblGrid>
      <w:tr w:rsidR="003B2BB4" w:rsidRPr="00D36D33" w14:paraId="32A37224" w14:textId="77777777" w:rsidTr="00F83EAE">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8FE70A5" w14:textId="77777777" w:rsidR="003B2BB4" w:rsidRPr="00D36D33" w:rsidRDefault="003B2BB4" w:rsidP="00527A72">
            <w:pPr>
              <w:keepNext/>
              <w:contextualSpacing/>
              <w:jc w:val="center"/>
            </w:pPr>
            <w:r>
              <w:rPr>
                <w:b/>
                <w:i/>
              </w:rPr>
              <w:t>Az Európai Bizottság által javasolt szöveg</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4343A0B" w14:textId="77777777" w:rsidR="003B2BB4" w:rsidRPr="00D36D33" w:rsidRDefault="003B2BB4" w:rsidP="00527A72">
            <w:pPr>
              <w:keepNext/>
              <w:contextualSpacing/>
              <w:jc w:val="center"/>
            </w:pPr>
            <w:r>
              <w:rPr>
                <w:b/>
                <w:i/>
              </w:rPr>
              <w:t xml:space="preserve">Az RB módosítása </w:t>
            </w:r>
          </w:p>
        </w:tc>
      </w:tr>
      <w:tr w:rsidR="003B2BB4" w:rsidRPr="00D36D33" w14:paraId="6597BF02"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35EA71E" w14:textId="77777777" w:rsidR="003B2BB4" w:rsidRPr="00D36D33" w:rsidRDefault="003B2BB4" w:rsidP="00555781">
            <w:pPr>
              <w:ind w:right="85"/>
              <w:contextualSpacing/>
            </w:pPr>
            <w:r>
              <w:t xml:space="preserve">A program az európai oktatási térség létrehozásának kulcsfontosságú eleme. A programot fel kell ruházni a megfelelő eszközökkel, hogy hozzá tudjon járulni az oktatási és képzési együttműködésre vonatkozó stratégiai keret utódjához és az európai készségfejlesztési programhoz, mivel ezek mindegyike stratégiai jelentőséget tulajdonít a készségeknek és képességeknek a munkahelyek, a növekedés és a versenyképesség fenntartása szempontjából. Ezenkívül támogatnia kell a tagállamokat a polgári szerepvállalásnak, valamint közös értékeinknek: a szabadságnak, a toleranciának és a megkülönböztetésmentességnek az oktatás által történő előmozdításáról szóló párizsi nyilatkozat céljainak elérésében. </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13E1426" w14:textId="77777777" w:rsidR="003B2BB4" w:rsidRPr="00D36D33" w:rsidRDefault="003B2BB4" w:rsidP="00555781">
            <w:pPr>
              <w:ind w:right="85"/>
              <w:contextualSpacing/>
            </w:pPr>
            <w:r>
              <w:t>A program az európai oktatási térség létrehozásának kulcsfontosságú eleme. A programot fel kell ruházni a megfelelő eszközökkel, hogy hozzá tudjon járulni az oktatási és képzési együttműködésre vonatkozó stratégiai keret utódjához és az európai készségfejlesztési programhoz, mivel ezek mindegyike stratégiai jelentőséget tulajdonít a készségeknek és képességeknek a munkahelyek, a növekedés és a versenyképesség fenntartása szempontjából. Ezenkívül támogatnia kell a tagállamokat a polgári szerepvállalásnak, valamint közös értékeinknek: a szabadságnak, a toleranciának és a megkülönböztetésmentességnek az oktatás által történő előmozdításáról szóló párizsi nyilatkozat céljainak elérésében</w:t>
            </w:r>
            <w:r>
              <w:rPr>
                <w:b/>
                <w:i/>
              </w:rPr>
              <w:t xml:space="preserve">, hogy a fiatalok is aktív uniós polgárokká váljanak, akik tudatában vannak az európai értékeknek, határozottan képviselik azokat, és tudják, hogyan érvényesítsék a jogaikat. Ezáltal a program a munkahelyek, a növekedés és a versenyképesség megőrzéséhez szükséges készségek és képességek stratégiai jelentőségét helyezi a középpontba. </w:t>
            </w:r>
          </w:p>
        </w:tc>
      </w:tr>
    </w:tbl>
    <w:p w14:paraId="09879B54"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712EA4CE" w14:textId="77777777" w:rsidTr="00F83EAE">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25E92B3" w14:textId="77777777" w:rsidR="003B2BB4" w:rsidRPr="00D36D33" w:rsidRDefault="003B2BB4" w:rsidP="00555781">
            <w:pPr>
              <w:contextualSpacing/>
              <w:jc w:val="center"/>
            </w:pPr>
            <w:r>
              <w:rPr>
                <w:b/>
                <w:i/>
              </w:rPr>
              <w:t>Indokolás</w:t>
            </w:r>
          </w:p>
        </w:tc>
      </w:tr>
      <w:tr w:rsidR="003B2BB4" w:rsidRPr="00D36D33" w14:paraId="25DC579B"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575737D" w14:textId="77777777" w:rsidR="003B2BB4" w:rsidRPr="00D36D33" w:rsidRDefault="003B2BB4" w:rsidP="00555781">
            <w:pPr>
              <w:ind w:right="85"/>
              <w:contextualSpacing/>
            </w:pPr>
            <w:r>
              <w:t xml:space="preserve">Egyértelműen meg kell fogalmazni azt, hogy a más európai országokban szerzett tanulási tapasztalatok jelentős ösztönzést adnak a jövőorientált szakmai kompetenciák fejlődésének, és szorosan összefüggenek az európai identitás kialakulásával. </w:t>
            </w:r>
          </w:p>
        </w:tc>
      </w:tr>
    </w:tbl>
    <w:p w14:paraId="1EA695E8" w14:textId="77777777" w:rsidR="003B2BB4" w:rsidRPr="00D36D33" w:rsidRDefault="003B2BB4" w:rsidP="00555781">
      <w:pPr>
        <w:ind w:left="360"/>
        <w:rPr>
          <w:lang w:val="de-DE"/>
        </w:rPr>
      </w:pPr>
    </w:p>
    <w:p w14:paraId="77D19C47" w14:textId="77777777" w:rsidR="003B2BB4" w:rsidRPr="00D36D33" w:rsidRDefault="003B2BB4" w:rsidP="00555781">
      <w:pPr>
        <w:keepNext/>
        <w:ind w:left="360"/>
        <w:jc w:val="center"/>
      </w:pPr>
      <w:r>
        <w:rPr>
          <w:b/>
        </w:rPr>
        <w:lastRenderedPageBreak/>
        <w:t>6. módosítás</w:t>
      </w:r>
    </w:p>
    <w:p w14:paraId="3F653612" w14:textId="77777777" w:rsidR="003B2BB4" w:rsidRPr="00D36D33" w:rsidRDefault="003B2BB4" w:rsidP="00555781">
      <w:pPr>
        <w:keepNext/>
        <w:ind w:left="360"/>
        <w:jc w:val="center"/>
      </w:pPr>
      <w:r>
        <w:rPr>
          <w:b/>
        </w:rPr>
        <w:t>(12) preambulumbekezdés</w:t>
      </w:r>
    </w:p>
    <w:p w14:paraId="28D82822" w14:textId="77777777" w:rsidR="003B2BB4" w:rsidRPr="00D36D33" w:rsidRDefault="003B2BB4" w:rsidP="00555781">
      <w:pPr>
        <w:keepNext/>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1A83716A"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78860CB" w14:textId="77777777" w:rsidR="003B2BB4" w:rsidRPr="00D36D33" w:rsidRDefault="003B2BB4" w:rsidP="00555781">
            <w:pPr>
              <w:keepNext/>
              <w:contextualSpacing/>
              <w:jc w:val="center"/>
            </w:pPr>
            <w:r>
              <w:rPr>
                <w:b/>
                <w:i/>
              </w:rPr>
              <w:t>Az Európai Bizottság által javasolt szöveg</w:t>
            </w:r>
          </w:p>
        </w:tc>
        <w:tc>
          <w:tcPr>
            <w:tcW w:w="4618" w:type="dxa"/>
            <w:tcBorders>
              <w:top w:val="single" w:sz="6" w:space="0" w:color="00000A"/>
              <w:left w:val="single" w:sz="6" w:space="0" w:color="00000A"/>
              <w:bottom w:val="single" w:sz="4" w:space="0" w:color="auto"/>
              <w:right w:val="single" w:sz="6" w:space="0" w:color="00000A"/>
            </w:tcBorders>
            <w:shd w:val="clear" w:color="auto" w:fill="FFFFFF"/>
            <w:tcMar>
              <w:left w:w="10" w:type="dxa"/>
              <w:right w:w="10" w:type="dxa"/>
            </w:tcMar>
          </w:tcPr>
          <w:p w14:paraId="15F60751" w14:textId="77777777" w:rsidR="003B2BB4" w:rsidRPr="00D36D33" w:rsidRDefault="003B2BB4" w:rsidP="00555781">
            <w:pPr>
              <w:keepNext/>
              <w:contextualSpacing/>
              <w:jc w:val="center"/>
            </w:pPr>
            <w:r>
              <w:rPr>
                <w:b/>
                <w:i/>
              </w:rPr>
              <w:t xml:space="preserve">Az RB módosítása </w:t>
            </w:r>
          </w:p>
        </w:tc>
      </w:tr>
      <w:tr w:rsidR="003B2BB4" w:rsidRPr="00D36D33" w14:paraId="566952AB"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FA2B1D2" w14:textId="651B6E74" w:rsidR="003B2BB4" w:rsidRPr="00D36D33" w:rsidRDefault="003B2BB4" w:rsidP="00555781">
            <w:pPr>
              <w:keepNext/>
              <w:ind w:right="85"/>
              <w:contextualSpacing/>
            </w:pPr>
            <w:r>
              <w:t>A programnak összhangban kell lennie az EU új ifjúsági stratégiájával, az ifjúságpolitika terén folytatott európai együttműködés 2019 és 2027 közötti időszakra vonatkozó keretével, amely „A fiatalok bevonása, összekapcsolása és érvényesülésük elősegítése: az EU új ifjúsági stratégiája” című, 2018. május 22-i bizottsági közleményen alapul.</w:t>
            </w:r>
          </w:p>
          <w:p w14:paraId="5F8C959C" w14:textId="77777777" w:rsidR="003B2BB4" w:rsidRPr="00D36D33" w:rsidRDefault="003B2BB4" w:rsidP="00555781">
            <w:pPr>
              <w:keepNext/>
              <w:contextualSpacing/>
              <w:rPr>
                <w:lang w:val="de-DE"/>
              </w:rPr>
            </w:pPr>
          </w:p>
        </w:tc>
        <w:tc>
          <w:tcPr>
            <w:tcW w:w="4618" w:type="dxa"/>
            <w:tcBorders>
              <w:top w:val="single" w:sz="4" w:space="0" w:color="auto"/>
              <w:left w:val="single" w:sz="6" w:space="0" w:color="00000A"/>
              <w:bottom w:val="single" w:sz="6" w:space="0" w:color="00000A"/>
              <w:right w:val="single" w:sz="6" w:space="0" w:color="00000A"/>
            </w:tcBorders>
            <w:shd w:val="clear" w:color="auto" w:fill="FFFFFF"/>
            <w:tcMar>
              <w:left w:w="108" w:type="dxa"/>
              <w:right w:w="108" w:type="dxa"/>
            </w:tcMar>
          </w:tcPr>
          <w:p w14:paraId="2F547716" w14:textId="5919018A" w:rsidR="003B2BB4" w:rsidRPr="00D36D33" w:rsidRDefault="003B2BB4" w:rsidP="00555781">
            <w:pPr>
              <w:keepNext/>
              <w:ind w:right="85"/>
              <w:contextualSpacing/>
            </w:pPr>
            <w:r>
              <w:t>A programnak összhangban kell lennie az EU új ifjúsági stratégiájával, az ifjúságpolitika terén folytatott európai együttműködés 2019 és 2027 közötti időszakra vonatkozó keretével, amely „A fiatalok bevonása, összekapcsolása és érvényesülésük elősegítése: az EU új ifjúsági stratégiája” című, 2018. május 22-i bizottsági közleményen alapul</w:t>
            </w:r>
            <w:r>
              <w:rPr>
                <w:b/>
                <w:i/>
              </w:rPr>
              <w:t>, valamint figyelembe kell vennie az Európai Unió ifjúsággal kapcsolatos munkatervét</w:t>
            </w:r>
            <w:r>
              <w:t>.</w:t>
            </w:r>
          </w:p>
        </w:tc>
      </w:tr>
    </w:tbl>
    <w:p w14:paraId="2195557F"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361A5170"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8FDA7C6" w14:textId="77777777" w:rsidR="003B2BB4" w:rsidRPr="00D36D33" w:rsidRDefault="003B2BB4" w:rsidP="00555781">
            <w:pPr>
              <w:contextualSpacing/>
              <w:jc w:val="center"/>
            </w:pPr>
            <w:r>
              <w:rPr>
                <w:b/>
                <w:i/>
              </w:rPr>
              <w:t>Indokolás</w:t>
            </w:r>
          </w:p>
        </w:tc>
      </w:tr>
      <w:tr w:rsidR="003B2BB4" w:rsidRPr="00D36D33" w14:paraId="325080C0"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AB30EEE" w14:textId="77777777" w:rsidR="003B2BB4" w:rsidRPr="00D36D33" w:rsidRDefault="003B2BB4" w:rsidP="00555781">
            <w:pPr>
              <w:ind w:right="85"/>
              <w:contextualSpacing/>
            </w:pPr>
            <w:r>
              <w:t>A politika koherenciájának javítása érdekében figyelembe kell venni az ifjúságra vonatkozó uniós munkatervet.</w:t>
            </w:r>
          </w:p>
        </w:tc>
      </w:tr>
    </w:tbl>
    <w:p w14:paraId="15B07F9E" w14:textId="77777777" w:rsidR="003B2BB4" w:rsidRPr="00D36D33" w:rsidRDefault="003B2BB4" w:rsidP="00555781">
      <w:pPr>
        <w:ind w:left="360"/>
        <w:rPr>
          <w:lang w:val="de-DE"/>
        </w:rPr>
      </w:pPr>
    </w:p>
    <w:p w14:paraId="2F1C91F6" w14:textId="77777777" w:rsidR="003B2BB4" w:rsidRPr="00D36D33" w:rsidRDefault="003B2BB4" w:rsidP="00555781">
      <w:pPr>
        <w:ind w:left="360"/>
        <w:jc w:val="center"/>
      </w:pPr>
      <w:r>
        <w:rPr>
          <w:b/>
        </w:rPr>
        <w:t>7. módosítás</w:t>
      </w:r>
    </w:p>
    <w:p w14:paraId="761861BB" w14:textId="77777777" w:rsidR="003B2BB4" w:rsidRPr="00D36D33" w:rsidRDefault="003B2BB4" w:rsidP="00555781">
      <w:pPr>
        <w:ind w:left="360"/>
        <w:jc w:val="center"/>
      </w:pPr>
      <w:r>
        <w:rPr>
          <w:b/>
        </w:rPr>
        <w:t>(14) preambulumbekezdés</w:t>
      </w:r>
    </w:p>
    <w:p w14:paraId="206A3B32"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073A17AF"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66DB52C"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9CC21D0" w14:textId="77777777" w:rsidR="003B2BB4" w:rsidRPr="00D36D33" w:rsidRDefault="003B2BB4" w:rsidP="00555781">
            <w:pPr>
              <w:contextualSpacing/>
              <w:jc w:val="center"/>
            </w:pPr>
            <w:r>
              <w:rPr>
                <w:b/>
                <w:i/>
              </w:rPr>
              <w:t xml:space="preserve">Az RB módosítása </w:t>
            </w:r>
          </w:p>
        </w:tc>
      </w:tr>
      <w:tr w:rsidR="003B2BB4" w:rsidRPr="00D36D33" w14:paraId="6076A295"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AAB565C" w14:textId="77777777" w:rsidR="003B2BB4" w:rsidRPr="00D36D33" w:rsidRDefault="003B2BB4" w:rsidP="00555781">
            <w:pPr>
              <w:ind w:right="85"/>
              <w:contextualSpacing/>
            </w:pPr>
            <w:r>
              <w:t>A programnak hozzá kell járulnia az Unió innovációs kapacitásának erősítéséhez</w:t>
            </w:r>
            <w:r>
              <w:rPr>
                <w:b/>
                <w:i/>
              </w:rPr>
              <w:t>, különösen</w:t>
            </w:r>
            <w:r>
              <w:t xml:space="preserve"> a mobilitási és együttműködési tevékenységek támogatásával, amelyek elősegítik a képességek fejlesztését a progresszív tanulmányi vagy tudományterületeken, úgymint a természettudományok, a technológia, a műszaki tudományok és a matematika, az éghajlatváltozás, a környezetvédelem, a tiszta energia, a mesterséges intelligencia, a robotika, az adatelemzés és a művészetek/formatervezés, hogy az emberek fejleszthessék a jövőhöz szükséges ismereteiket, készségeiket és képességeiket.</w:t>
            </w:r>
          </w:p>
          <w:p w14:paraId="7A1CF3B1" w14:textId="77777777" w:rsidR="003B2BB4" w:rsidRPr="00D36D33" w:rsidRDefault="003B2BB4" w:rsidP="00555781">
            <w:pPr>
              <w:contextualSpacing/>
              <w:rPr>
                <w:lang w:val="de-DE"/>
              </w:rPr>
            </w:pP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3BDB933" w14:textId="26DE7537" w:rsidR="003B2BB4" w:rsidRPr="00D36D33" w:rsidRDefault="003B2BB4" w:rsidP="00555781">
            <w:pPr>
              <w:ind w:right="85"/>
              <w:contextualSpacing/>
            </w:pPr>
            <w:r>
              <w:t xml:space="preserve">A programnak hozzá kell járulnia az Unió innovációs kapacitásának erősítéséhez a mobilitási és együttműködési tevékenységek támogatásával, amelyek elősegítik a képességek fejlesztését a progresszív tanulmányi vagy tudományterületeken, úgymint a természettudományok, a technológia, a műszaki tudományok és a matematika, az éghajlatváltozás, a környezetvédelem, a tiszta energia, a mesterséges intelligencia, a robotika, az adatelemzés és a művészetek/formatervezés, hogy az emberek fejleszthessék a jövőhöz szükséges ismereteiket, készségeiket és képességeiket. </w:t>
            </w:r>
            <w:r>
              <w:rPr>
                <w:b/>
                <w:i/>
              </w:rPr>
              <w:t>Ennek során nem szabad figyelmen kívül hagyni a szociális készségek fejlesztését, mint amilyen az interkulturális csapatmunka, az empátia, az ambiguitás iránti tolerancia, a tanulási képesség, valamint az önálló és kísérletező munkavégzés.</w:t>
            </w:r>
          </w:p>
        </w:tc>
      </w:tr>
    </w:tbl>
    <w:p w14:paraId="42480BCA"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5053FF04"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60F9202B" w14:textId="77777777" w:rsidR="003B2BB4" w:rsidRPr="00D36D33" w:rsidRDefault="003B2BB4" w:rsidP="00555781">
            <w:pPr>
              <w:contextualSpacing/>
              <w:jc w:val="center"/>
            </w:pPr>
            <w:r>
              <w:rPr>
                <w:b/>
                <w:i/>
              </w:rPr>
              <w:t>Indokolás</w:t>
            </w:r>
          </w:p>
        </w:tc>
      </w:tr>
      <w:tr w:rsidR="003B2BB4" w:rsidRPr="00D36D33" w14:paraId="45627FFC"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16B1DC9" w14:textId="77777777" w:rsidR="003B2BB4" w:rsidRPr="00D36D33" w:rsidRDefault="003B2BB4" w:rsidP="00555781">
            <w:pPr>
              <w:ind w:right="85"/>
              <w:contextualSpacing/>
            </w:pPr>
            <w:r>
              <w:t xml:space="preserve">Mivel az Unió innovációs képessége nem csak az adott szakterületen vagy tudományterületen </w:t>
            </w:r>
            <w:r>
              <w:lastRenderedPageBreak/>
              <w:t>rendelkezésre álló szakértelemtől függ, hanem mindenekelőtt a (jövőbeli) munkavállalók és vezetők fent említett szociális készségeitől, ebben a programban mindkét szempontot megfelelően figyelembe kell venni.</w:t>
            </w:r>
          </w:p>
        </w:tc>
      </w:tr>
    </w:tbl>
    <w:p w14:paraId="744F9757" w14:textId="77777777" w:rsidR="003B2BB4" w:rsidRPr="00D36D33" w:rsidRDefault="003B2BB4" w:rsidP="00555781">
      <w:pPr>
        <w:ind w:left="360"/>
        <w:rPr>
          <w:lang w:val="de-DE"/>
        </w:rPr>
      </w:pPr>
    </w:p>
    <w:p w14:paraId="2C6DCFD4" w14:textId="77777777" w:rsidR="003B2BB4" w:rsidRPr="00D36D33" w:rsidRDefault="003B2BB4" w:rsidP="00555781">
      <w:pPr>
        <w:keepNext/>
        <w:ind w:left="357"/>
        <w:jc w:val="center"/>
      </w:pPr>
      <w:r>
        <w:rPr>
          <w:b/>
        </w:rPr>
        <w:t>8. módosítás</w:t>
      </w:r>
    </w:p>
    <w:p w14:paraId="0BCACF29" w14:textId="77777777" w:rsidR="003B2BB4" w:rsidRPr="00D36D33" w:rsidRDefault="003B2BB4" w:rsidP="00555781">
      <w:pPr>
        <w:keepNext/>
        <w:ind w:left="357"/>
        <w:jc w:val="center"/>
      </w:pPr>
      <w:r>
        <w:rPr>
          <w:b/>
        </w:rPr>
        <w:t>(16) preambulumbekezdés</w:t>
      </w:r>
    </w:p>
    <w:p w14:paraId="7E7A14E2" w14:textId="77777777" w:rsidR="003B2BB4" w:rsidRPr="00D36D33" w:rsidRDefault="003B2BB4" w:rsidP="00555781">
      <w:pPr>
        <w:ind w:left="360"/>
        <w:rPr>
          <w:lang w:val="de-DE"/>
        </w:rPr>
      </w:pPr>
    </w:p>
    <w:tbl>
      <w:tblPr>
        <w:tblW w:w="9286" w:type="dxa"/>
        <w:tblLayout w:type="fixed"/>
        <w:tblCellMar>
          <w:left w:w="10" w:type="dxa"/>
          <w:right w:w="10" w:type="dxa"/>
        </w:tblCellMar>
        <w:tblLook w:val="0000" w:firstRow="0" w:lastRow="0" w:firstColumn="0" w:lastColumn="0" w:noHBand="0" w:noVBand="0"/>
      </w:tblPr>
      <w:tblGrid>
        <w:gridCol w:w="4640"/>
        <w:gridCol w:w="4646"/>
      </w:tblGrid>
      <w:tr w:rsidR="003B2BB4" w:rsidRPr="00D36D33" w14:paraId="1D9D5614" w14:textId="77777777" w:rsidTr="00F83EAE">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C801CC3" w14:textId="77777777" w:rsidR="003B2BB4" w:rsidRPr="00D36D33" w:rsidRDefault="003B2BB4" w:rsidP="00555781">
            <w:pPr>
              <w:contextualSpacing/>
              <w:jc w:val="center"/>
            </w:pPr>
            <w:r>
              <w:rPr>
                <w:b/>
                <w:i/>
              </w:rPr>
              <w:t>Az Európai Bizottság által javasolt szöveg</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9DC25A7" w14:textId="77777777" w:rsidR="003B2BB4" w:rsidRPr="00D36D33" w:rsidRDefault="003B2BB4" w:rsidP="00555781">
            <w:pPr>
              <w:contextualSpacing/>
              <w:jc w:val="center"/>
            </w:pPr>
            <w:r>
              <w:rPr>
                <w:b/>
                <w:i/>
              </w:rPr>
              <w:t xml:space="preserve">Az RB módosítása </w:t>
            </w:r>
          </w:p>
        </w:tc>
      </w:tr>
      <w:tr w:rsidR="003B2BB4" w:rsidRPr="00D36D33" w14:paraId="7895D3A5"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7FC1203" w14:textId="77777777" w:rsidR="003B2BB4" w:rsidRPr="00D36D33" w:rsidRDefault="003B2BB4" w:rsidP="00555781">
            <w:pPr>
              <w:ind w:right="85"/>
              <w:contextualSpacing/>
            </w:pPr>
            <w:r>
              <w:t xml:space="preserve">A programnak inkluzívabbá kell válnia azáltal, hogy többek között a tanulási célú mobilitás rugalmasabb formái révén több olyan embert ér el, akik kevesebb lehetőséggel rendelkeznek; inkluzívabbá kell válnia továbbá a kisebb szervezetek, különösen az újonnan pályázók és a közösségi alapú helyi szervezetek részvételének előmozdítása által, amelyek közvetlenül a hátrányos helyzetű tanulókkal foglalkoznak, életkortól függetlenül. Támogatni kell a virtuális formátumokat, úgymint a virtuális együttműködést, a vegyes és a virtuális mobilitást, hogy több résztvevőt lehessen elérni, különösen a kevesebb lehetőséggel rendelkezők közül és azok köréből, akik számára a lakóhelyüktől eltérő országba való költözés fizikai szempontból akadályt jelentene. </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C4BC146" w14:textId="77777777" w:rsidR="003B2BB4" w:rsidRPr="00D36D33" w:rsidRDefault="003B2BB4" w:rsidP="00555781">
            <w:pPr>
              <w:ind w:right="85"/>
              <w:contextualSpacing/>
            </w:pPr>
            <w:r>
              <w:t xml:space="preserve">A programnak inkluzívabbá kell válnia azáltal, hogy többek között a tanulási célú mobilitás rugalmasabb formái révén több olyan embert ér el, akik kevesebb lehetőséggel rendelkeznek; inkluzívabbá kell válnia továbbá a kisebb szervezetek, különösen az újonnan pályázók és a közösségi alapú helyi szervezetek részvételének </w:t>
            </w:r>
            <w:r>
              <w:rPr>
                <w:b/>
                <w:i/>
              </w:rPr>
              <w:t xml:space="preserve">helyi és regionális szintű </w:t>
            </w:r>
            <w:r>
              <w:t>előmozdítása által, amelyek közvetlenül a hátrányos helyzetű tanulókkal foglalkoznak, életkortól függetlenül.</w:t>
            </w:r>
          </w:p>
          <w:p w14:paraId="61427F82" w14:textId="2F101037" w:rsidR="003B2BB4" w:rsidRPr="00D36D33" w:rsidRDefault="003B2BB4" w:rsidP="00555781">
            <w:pPr>
              <w:ind w:right="85"/>
              <w:contextualSpacing/>
            </w:pPr>
            <w:r>
              <w:rPr>
                <w:b/>
                <w:i/>
              </w:rPr>
              <w:t xml:space="preserve">Emellett azon iskolarendszeren kívüli képzési, valamint szakképzési és általános képzési intézmények számára, amelyek elsősorban hátrányos helyzetű tanulókkal foglalkoznak, és még soha vagy már régóta nem dolgoztak az európai programokkal, több lehetőséget kell biztosítani arra, hogy egy projekt előkészítése során helyi és regionális szinten együttműködjenek egy szakmailag kompetens, nem formális oktatást nyújtó intézménnyel. </w:t>
            </w:r>
          </w:p>
          <w:p w14:paraId="4F227957" w14:textId="550C53CE" w:rsidR="003B2BB4" w:rsidRPr="00D36D33" w:rsidRDefault="003B2BB4" w:rsidP="00555781">
            <w:pPr>
              <w:ind w:right="85"/>
              <w:contextualSpacing/>
            </w:pPr>
            <w:r>
              <w:t xml:space="preserve">Támogatni kell a virtuális formátumokat, úgymint a virtuális együttműködést, a vegyes és a virtuális mobilitást, hogy több résztvevőt lehessen elérni, különösen a kevesebb lehetőséggel rendelkezők közül és azok köréből, akik számára a lakóhelyüktől eltérő országba való költözés fizikai szempontból akadályt jelentene. </w:t>
            </w:r>
            <w:r>
              <w:rPr>
                <w:b/>
                <w:i/>
              </w:rPr>
              <w:t>Ennek ellenére minden erőfeszítést meg kell tenni annak érdekében, hogy a hátrányos helyzetű, különösen a fogyatékossággal élő emberek számára is lehetővé tegyék a fizikai mobilitást.</w:t>
            </w:r>
          </w:p>
        </w:tc>
      </w:tr>
    </w:tbl>
    <w:p w14:paraId="26E5675D"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2D1578DA" w14:textId="77777777" w:rsidTr="00F83EAE">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9BB2F61" w14:textId="77777777" w:rsidR="003B2BB4" w:rsidRPr="00D36D33" w:rsidRDefault="003B2BB4" w:rsidP="00555781">
            <w:pPr>
              <w:contextualSpacing/>
              <w:jc w:val="center"/>
            </w:pPr>
            <w:r>
              <w:rPr>
                <w:b/>
                <w:i/>
              </w:rPr>
              <w:t>Indokolás</w:t>
            </w:r>
          </w:p>
        </w:tc>
      </w:tr>
      <w:tr w:rsidR="003B2BB4" w:rsidRPr="00D36D33" w14:paraId="385BC17E"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BCA0A27" w14:textId="77777777" w:rsidR="003B2BB4" w:rsidRPr="00D36D33" w:rsidRDefault="003B2BB4" w:rsidP="00555781">
            <w:pPr>
              <w:ind w:right="85"/>
              <w:contextualSpacing/>
              <w:rPr>
                <w:rFonts w:eastAsia="Calibri"/>
              </w:rPr>
            </w:pPr>
            <w:r>
              <w:t xml:space="preserve">Helyi és regionális szinten támogatni kell a közösségi alapú szervezetek aktív részvételét. Mivel a legújabb tanulmányok szerint sok esetben jelentős „küszöbfélelem” alakul ki a túlságosan bonyolultnak vélt európai projektekkel szemben, lehetőséget kell teremteni arra, hogy az érintett </w:t>
            </w:r>
            <w:r>
              <w:lastRenderedPageBreak/>
              <w:t>személyzetnek lehetősége legyen a munkahelyi továbbképzésre, valamint arra, hogy e célból együttműködjenek egy pedagógiai feladatokat ellátó intézménnyel.</w:t>
            </w:r>
          </w:p>
          <w:p w14:paraId="00F45489" w14:textId="77777777" w:rsidR="003B2BB4" w:rsidRPr="00D36D33" w:rsidRDefault="003B2BB4" w:rsidP="00555781">
            <w:pPr>
              <w:ind w:right="85"/>
              <w:contextualSpacing/>
            </w:pPr>
            <w:r>
              <w:t>A virtuális mobilitás észszerűen kiegészítheti a fizikai mobilitást, azonban nem pótolja azt egyenlő mértékben. Biztosítani kell, hogy mindenki használhassa mindegyik mobilitási formát.</w:t>
            </w:r>
          </w:p>
        </w:tc>
      </w:tr>
    </w:tbl>
    <w:p w14:paraId="331AE1AE" w14:textId="77777777" w:rsidR="003B2BB4" w:rsidRPr="00D36D33" w:rsidRDefault="003B2BB4" w:rsidP="00555781">
      <w:pPr>
        <w:ind w:left="360"/>
        <w:rPr>
          <w:lang w:val="de-DE"/>
        </w:rPr>
      </w:pPr>
    </w:p>
    <w:p w14:paraId="2B7C5079" w14:textId="77777777" w:rsidR="003B2BB4" w:rsidRPr="00D36D33" w:rsidRDefault="003B2BB4" w:rsidP="00555781">
      <w:pPr>
        <w:ind w:left="360"/>
        <w:jc w:val="center"/>
      </w:pPr>
      <w:r>
        <w:rPr>
          <w:b/>
        </w:rPr>
        <w:t>9. módosítás</w:t>
      </w:r>
    </w:p>
    <w:p w14:paraId="5B280C8B" w14:textId="77777777" w:rsidR="003B2BB4" w:rsidRPr="00D36D33" w:rsidRDefault="003B2BB4" w:rsidP="00555781">
      <w:pPr>
        <w:ind w:left="360"/>
        <w:jc w:val="center"/>
      </w:pPr>
      <w:r>
        <w:rPr>
          <w:b/>
        </w:rPr>
        <w:t>(17) preambulumbekezdés</w:t>
      </w:r>
    </w:p>
    <w:p w14:paraId="2A76217D" w14:textId="77777777" w:rsidR="003B2BB4" w:rsidRPr="00D36D33" w:rsidRDefault="003B2BB4" w:rsidP="00555781">
      <w:pPr>
        <w:ind w:left="360"/>
        <w:rPr>
          <w:lang w:val="de-DE"/>
        </w:rPr>
      </w:pPr>
    </w:p>
    <w:tbl>
      <w:tblPr>
        <w:tblW w:w="9286" w:type="dxa"/>
        <w:tblLayout w:type="fixed"/>
        <w:tblCellMar>
          <w:left w:w="10" w:type="dxa"/>
          <w:right w:w="10" w:type="dxa"/>
        </w:tblCellMar>
        <w:tblLook w:val="0000" w:firstRow="0" w:lastRow="0" w:firstColumn="0" w:lastColumn="0" w:noHBand="0" w:noVBand="0"/>
      </w:tblPr>
      <w:tblGrid>
        <w:gridCol w:w="4640"/>
        <w:gridCol w:w="4646"/>
      </w:tblGrid>
      <w:tr w:rsidR="003B2BB4" w:rsidRPr="00D36D33" w14:paraId="6A8D6DEF" w14:textId="77777777" w:rsidTr="00F83EAE">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0EF8EF5" w14:textId="77777777" w:rsidR="003B2BB4" w:rsidRPr="00D36D33" w:rsidRDefault="003B2BB4" w:rsidP="00555781">
            <w:pPr>
              <w:contextualSpacing/>
              <w:jc w:val="center"/>
            </w:pPr>
            <w:r>
              <w:rPr>
                <w:b/>
                <w:i/>
              </w:rPr>
              <w:t>Az Európai Bizottság által javasolt szöveg</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14BF89D" w14:textId="77777777" w:rsidR="003B2BB4" w:rsidRPr="00D36D33" w:rsidRDefault="003B2BB4" w:rsidP="00555781">
            <w:pPr>
              <w:contextualSpacing/>
              <w:jc w:val="center"/>
            </w:pPr>
            <w:r>
              <w:rPr>
                <w:b/>
                <w:i/>
              </w:rPr>
              <w:t xml:space="preserve">Az RB módosítása </w:t>
            </w:r>
          </w:p>
        </w:tc>
      </w:tr>
      <w:tr w:rsidR="003B2BB4" w:rsidRPr="00D36D33" w14:paraId="3079DA5F" w14:textId="77777777" w:rsidTr="00761F73">
        <w:tc>
          <w:tcPr>
            <w:tcW w:w="4640"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EBF4DEE" w14:textId="77777777" w:rsidR="003B2BB4" w:rsidRPr="00D36D33" w:rsidRDefault="003B2BB4" w:rsidP="00555781">
            <w:pPr>
              <w:ind w:right="85"/>
              <w:contextualSpacing/>
            </w:pPr>
            <w:r>
              <w:t xml:space="preserve">A Bizottság „Az európai identitás megerősítése az oktatás és a kultúra révén” című közleményében kiemelte, hogy az oktatás, a kultúra és a sport meghatározó szerepet játszik az aktív polgári szerepvállalás és a közös értékek érvényre juttatásában a legfiatalabb nemzedékek körében. Európa és demokratikus társadalmaink jövője szempontjából rendkívül fontos az európai identitástudat erősítése és az egyének demokratikus folyamatokban történő aktív szerepvállalásának ösztönzése. A külföldi tanulás, képzés és munkavállalás, illetve az ifjúsági és sporttevékenységekben külföldön való részvétel hozzájárul a maga sokféleségében megnyilvánuló európai identitás és a kulturális közösséghez való tartozás érzésének erősítéséhez, valamint az aktív polgári szerepvállalás előmozdításához minden korosztályban. A mobilitási tevékenységekben résztvevőknek saját helyi közösségük aktív tagjává kell válniuk, valamint a fogadó ország helyi közösségeibe is be kell illeszkedniük, hogy megoszthassák tapasztalataikat. Támogatni kell az oktatásban, képzésben és az ifjúságban megnyilvánuló kreativitás valamennyi aspektusának megerősítésével és az egyéni kulcskompetenciák fejlesztésével kapcsolatos tevékenységeket. </w:t>
            </w:r>
          </w:p>
        </w:tc>
        <w:tc>
          <w:tcPr>
            <w:tcW w:w="4646"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C1D70B7" w14:textId="77777777" w:rsidR="003B2BB4" w:rsidRPr="00D36D33" w:rsidRDefault="003B2BB4" w:rsidP="00555781">
            <w:pPr>
              <w:ind w:right="85"/>
              <w:contextualSpacing/>
            </w:pPr>
            <w:r>
              <w:t xml:space="preserve">A Bizottság „Az európai identitás megerősítése az oktatás és a kultúra révén” című közleményében kiemelte, hogy az oktatás, a kultúra és a sport meghatározó szerepet játszik az aktív polgári szerepvállalás és a közös értékek érvényre juttatásában a legfiatalabb nemzedékek körében. Európa és demokratikus társadalmaink jövője szempontjából rendkívül fontos az európai identitástudat erősítése és az egyének demokratikus folyamatokban történő aktív szerepvállalásának ösztönzése. A külföldi tanulás, képzés és munkavállalás, </w:t>
            </w:r>
            <w:r>
              <w:rPr>
                <w:b/>
                <w:i/>
              </w:rPr>
              <w:t xml:space="preserve">a szakképző iskolák vagy általános képzést nyújtó iskolák tanulóinak rövid, közép- vagy hosszú távú szakmai gyakorlata, </w:t>
            </w:r>
            <w:r>
              <w:t xml:space="preserve">illetve az ifjúsági és sporttevékenységekben külföldön való részvétel hozzájárul a maga sokféleségében megnyilvánuló európai identitás és a kulturális közösséghez való tartozás érzésének erősítéséhez, valamint az aktív polgári szerepvállalás előmozdításához minden korosztályban. A mobilitási tevékenységekben résztvevőknek saját helyi közösségük aktív tagjává kell válniuk, valamint a fogadó ország helyi közösségeibe is be kell illeszkedniük, hogy megoszthassák tapasztalataikat. </w:t>
            </w:r>
            <w:r>
              <w:rPr>
                <w:b/>
                <w:i/>
              </w:rPr>
              <w:t xml:space="preserve">Azokat a szervezeteket, amelyek kapcsolatokat alakítanak ki és támogatnak a tanulók, valamint az iskolarendszeren kívüli, szakképzési és általános képzési intézmények között, különös tekintettel a kevesebb lehetőséggel rendelkező fiatalokkal dolgozó intézményekre, támogatni kell a munkájukban és elő kell mozdítani, hogy helyi és európai hálózatokat alakítsanak ki. </w:t>
            </w:r>
            <w:r>
              <w:t xml:space="preserve">Támogatni kell az oktatásban, képzésben és az ifjúságban megnyilvánuló kreativitás valamennyi </w:t>
            </w:r>
            <w:r>
              <w:lastRenderedPageBreak/>
              <w:t>aspektusának megerősítésével és az egyéni kulcskompetenciák fejlesztésével kapcsolatos tevékenységeket.</w:t>
            </w:r>
          </w:p>
        </w:tc>
      </w:tr>
    </w:tbl>
    <w:p w14:paraId="4DBB49B3"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0FE5BAD2" w14:textId="77777777" w:rsidTr="00F83EAE">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0E79902" w14:textId="77777777" w:rsidR="003B2BB4" w:rsidRPr="00D36D33" w:rsidRDefault="003B2BB4" w:rsidP="00555781">
            <w:pPr>
              <w:contextualSpacing/>
              <w:jc w:val="center"/>
            </w:pPr>
            <w:r>
              <w:rPr>
                <w:b/>
                <w:i/>
              </w:rPr>
              <w:t>Indokolás</w:t>
            </w:r>
          </w:p>
        </w:tc>
      </w:tr>
      <w:tr w:rsidR="003B2BB4" w:rsidRPr="00D36D33" w14:paraId="63BB0B7A" w14:textId="77777777" w:rsidTr="00761F73">
        <w:tc>
          <w:tcPr>
            <w:tcW w:w="9289"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B3CBCA3" w14:textId="164AED4B" w:rsidR="003B2BB4" w:rsidRPr="00D36D33" w:rsidRDefault="003B2BB4" w:rsidP="00555781">
            <w:pPr>
              <w:ind w:right="85"/>
              <w:contextualSpacing/>
            </w:pPr>
            <w:r>
              <w:t>Mivel a szakképzés területén működő szakmai gyakorlatokat már a jelenlegi Erasmus+ program is támogatja, és időközben ezek a gyakorlatok nagyon nagy jelenőségre tettek szert, ezt a lehetőséget a jövőben is folytatni kell, és az általános képzést folytató iskolák szakmai orientációjára is ki kell terjeszteni.</w:t>
            </w:r>
          </w:p>
          <w:p w14:paraId="641DBBD0" w14:textId="77777777" w:rsidR="003B2BB4" w:rsidRPr="00D36D33" w:rsidRDefault="003B2BB4" w:rsidP="00555781">
            <w:pPr>
              <w:ind w:right="85"/>
              <w:contextualSpacing/>
            </w:pPr>
            <w:r>
              <w:t>A tanulók, valamint a szakképzési és általános képzést nyújtó intézmények közötti kapcsolatokat támogató szervezetek munkája bizonyította, hogy van értelme ennek a közvetítő tevékenységnek, mivel lehetővé teszi az Erasmus-hallgatók számára, hogy mélyrehatóan megismerjék a fogadó ország oktatási rendszerét, és könnyen hozzáférhető módon kapcsolatba léphessenek kortársaikkal Európa-szerte, ami különösen a kevesebb lehetőséggel rendelkező fiatalok esetében bír jelentőséggel.</w:t>
            </w:r>
          </w:p>
        </w:tc>
      </w:tr>
    </w:tbl>
    <w:p w14:paraId="329EE312" w14:textId="77777777" w:rsidR="003B2BB4" w:rsidRPr="00D36D33" w:rsidRDefault="003B2BB4" w:rsidP="00555781">
      <w:pPr>
        <w:ind w:left="360"/>
        <w:rPr>
          <w:lang w:val="de-DE"/>
        </w:rPr>
      </w:pPr>
    </w:p>
    <w:p w14:paraId="1479F811" w14:textId="77777777" w:rsidR="003B2BB4" w:rsidRPr="00D36D33" w:rsidRDefault="003B2BB4" w:rsidP="00527A72">
      <w:pPr>
        <w:keepNext/>
        <w:ind w:left="360"/>
        <w:jc w:val="center"/>
      </w:pPr>
      <w:r>
        <w:rPr>
          <w:b/>
        </w:rPr>
        <w:t>10. módosítás</w:t>
      </w:r>
    </w:p>
    <w:p w14:paraId="262E6571" w14:textId="77777777" w:rsidR="003B2BB4" w:rsidRPr="00D36D33" w:rsidRDefault="003B2BB4" w:rsidP="00527A72">
      <w:pPr>
        <w:keepNext/>
        <w:ind w:left="360"/>
        <w:jc w:val="center"/>
      </w:pPr>
      <w:r>
        <w:rPr>
          <w:b/>
        </w:rPr>
        <w:t>(19) preambulumbekezdés</w:t>
      </w:r>
    </w:p>
    <w:p w14:paraId="5CF65B8B" w14:textId="77777777" w:rsidR="003B2BB4" w:rsidRPr="00D36D33" w:rsidRDefault="003B2BB4" w:rsidP="00527A72">
      <w:pPr>
        <w:keepNext/>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2568DAEF"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222C5E0" w14:textId="77777777" w:rsidR="003B2BB4" w:rsidRPr="00D36D33" w:rsidRDefault="003B2BB4" w:rsidP="00527A72">
            <w:pPr>
              <w:keepNext/>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B0E0F2C" w14:textId="77777777" w:rsidR="003B2BB4" w:rsidRPr="00D36D33" w:rsidRDefault="003B2BB4" w:rsidP="00527A72">
            <w:pPr>
              <w:keepNext/>
              <w:contextualSpacing/>
              <w:jc w:val="center"/>
            </w:pPr>
            <w:r>
              <w:rPr>
                <w:b/>
                <w:i/>
              </w:rPr>
              <w:t xml:space="preserve">Az RB módosítása </w:t>
            </w:r>
          </w:p>
        </w:tc>
      </w:tr>
      <w:tr w:rsidR="003B2BB4" w:rsidRPr="00D36D33" w14:paraId="4E8E30F5" w14:textId="77777777" w:rsidTr="00761F73">
        <w:trPr>
          <w:trHeight w:val="3136"/>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2A3D565" w14:textId="34DC9B02" w:rsidR="003B2BB4" w:rsidRPr="00D36D33" w:rsidRDefault="003B2BB4" w:rsidP="00555781">
            <w:pPr>
              <w:ind w:right="85"/>
              <w:contextualSpacing/>
            </w:pPr>
            <w:r>
              <w:t>A 2014‒2020-as program három fejezetből ‒ oktatás és képzés, ifjúság és sport ‒ álló, három fő intézkedés köré szerveződő alapvető struktúrája sikeresnek bizonyult és meg kell tartani. A program által támogatott tevékenységek egyszerűsítése és racionalizálása érdekében hasznos változtatásokat kell bevezetni.</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23E63FA" w14:textId="078BF336" w:rsidR="003B2BB4" w:rsidRPr="00D36D33" w:rsidRDefault="003B2BB4" w:rsidP="00555781">
            <w:pPr>
              <w:ind w:right="85"/>
              <w:contextualSpacing/>
            </w:pPr>
            <w:r>
              <w:t xml:space="preserve">A 2014‒2020-as program három fejezetből ‒ oktatás és képzés, ifjúság és sport ‒ álló, három fő intézkedés köré szerveződő alapvető struktúrája sikeresnek bizonyult és meg kell tartani. A program által támogatott tevékenységek egyszerűsítése és racionalizálása érdekében hasznos változtatásokat kell bevezetni. </w:t>
            </w:r>
            <w:r>
              <w:rPr>
                <w:b/>
                <w:i/>
              </w:rPr>
              <w:t>Így területspecifikus, rendkívül leegyszerűsített pályázási eljárásokat kell bevezetni, hogy megvalósuljon a résztevők számának elérni kívánt növekedése, valamint a személyzet hajlandósága is növekedjen a pályázatok benyújtására. Ehhez intenzív tanácsadásra, támogatásra és nyomon követésre van szükség helyi szinten, ahol a legjobban ismerik a helyi szükségleteket.</w:t>
            </w:r>
          </w:p>
        </w:tc>
      </w:tr>
    </w:tbl>
    <w:p w14:paraId="3FF8F741"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1BE8BC77"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D3240B2" w14:textId="77777777" w:rsidR="003B2BB4" w:rsidRPr="00D36D33" w:rsidRDefault="003B2BB4" w:rsidP="00555781">
            <w:pPr>
              <w:contextualSpacing/>
              <w:jc w:val="center"/>
            </w:pPr>
            <w:r>
              <w:rPr>
                <w:b/>
                <w:i/>
              </w:rPr>
              <w:t>Indokolás</w:t>
            </w:r>
          </w:p>
        </w:tc>
      </w:tr>
      <w:tr w:rsidR="003B2BB4" w:rsidRPr="00D36D33" w14:paraId="008937D0" w14:textId="77777777" w:rsidTr="00761F73">
        <w:trPr>
          <w:trHeight w:val="380"/>
        </w:trPr>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A92E5DD" w14:textId="2598B181" w:rsidR="003B2BB4" w:rsidRPr="00D36D33" w:rsidRDefault="003B2BB4" w:rsidP="00555781">
            <w:pPr>
              <w:ind w:right="85"/>
              <w:contextualSpacing/>
            </w:pPr>
            <w:r>
              <w:t>A pályázat benyújtására – még a tapasztalt gyakorló szakemberek is – a projekt típusától függően 40–80 órát számolnak. Az időráfordítás a korábbi programoknál nem volt ilyen mértékű, és nagy segítséget nyújthatna, ha az ott megadott normákat tekintetnék irányadónak. A problémakör különösen az általános és szakképzés, valamint a nem formális oktatás területét érinti, mivel ezekben az intézményekben a felsőoktatási intézményekkel ellentétben nincsenek „nemzetközi irodák”, hanem ezt a munkát a mindennapi munka mellett kell elvégezni.</w:t>
            </w:r>
          </w:p>
        </w:tc>
      </w:tr>
    </w:tbl>
    <w:p w14:paraId="41AB8992" w14:textId="77777777" w:rsidR="003B2BB4" w:rsidRPr="00D36D33" w:rsidRDefault="003B2BB4" w:rsidP="00555781">
      <w:pPr>
        <w:ind w:left="360"/>
        <w:rPr>
          <w:lang w:val="de-DE"/>
        </w:rPr>
      </w:pPr>
    </w:p>
    <w:p w14:paraId="08B8E256" w14:textId="77777777" w:rsidR="003B2BB4" w:rsidRPr="00D36D33" w:rsidRDefault="003B2BB4" w:rsidP="00555781">
      <w:pPr>
        <w:ind w:left="360"/>
        <w:jc w:val="center"/>
      </w:pPr>
      <w:r>
        <w:rPr>
          <w:b/>
        </w:rPr>
        <w:t>11. módosítás</w:t>
      </w:r>
    </w:p>
    <w:p w14:paraId="37CFAF85" w14:textId="77777777" w:rsidR="003B2BB4" w:rsidRPr="00D36D33" w:rsidRDefault="003B2BB4" w:rsidP="00555781">
      <w:pPr>
        <w:ind w:left="360"/>
        <w:jc w:val="center"/>
      </w:pPr>
      <w:r>
        <w:rPr>
          <w:b/>
        </w:rPr>
        <w:lastRenderedPageBreak/>
        <w:t>(20) preambulumbekezdés</w:t>
      </w:r>
    </w:p>
    <w:p w14:paraId="358D5696"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09F02704"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A3F8718"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22E6BF3" w14:textId="77777777" w:rsidR="003B2BB4" w:rsidRPr="00D36D33" w:rsidRDefault="003B2BB4" w:rsidP="00555781">
            <w:pPr>
              <w:contextualSpacing/>
              <w:jc w:val="center"/>
            </w:pPr>
            <w:r>
              <w:rPr>
                <w:b/>
                <w:i/>
              </w:rPr>
              <w:t xml:space="preserve">Az RB módosítása </w:t>
            </w:r>
          </w:p>
        </w:tc>
      </w:tr>
      <w:tr w:rsidR="003B2BB4" w:rsidRPr="00D36D33" w14:paraId="2887A5BB" w14:textId="77777777" w:rsidTr="00761F73">
        <w:trPr>
          <w:trHeight w:val="3136"/>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D1580D8" w14:textId="4868D230" w:rsidR="003B2BB4" w:rsidRPr="00D36D33" w:rsidRDefault="003B2BB4" w:rsidP="00555781">
            <w:pPr>
              <w:ind w:right="85"/>
              <w:contextualSpacing/>
            </w:pPr>
            <w:r>
              <w:t xml:space="preserve">A programnak </w:t>
            </w:r>
            <w:r>
              <w:rPr>
                <w:b/>
                <w:i/>
              </w:rPr>
              <w:t xml:space="preserve">meg </w:t>
            </w:r>
            <w:r>
              <w:t xml:space="preserve">kell </w:t>
            </w:r>
            <w:r>
              <w:rPr>
                <w:b/>
                <w:i/>
              </w:rPr>
              <w:t>erősítenie</w:t>
            </w:r>
            <w:r>
              <w:t xml:space="preserve"> a meglévő, tanulási célú mobilitási lehetőségeket, különösen </w:t>
            </w:r>
            <w:r>
              <w:rPr>
                <w:b/>
                <w:i/>
              </w:rPr>
              <w:t>azokon a területeken, ahol a legnagyobb hatékonyságnövelés érhető el, hogy a program még szélesebb célközönséghez juthasson el, és kielégíthesse a lehetőségeket jóval meghaladó igényeket. Ez elsősorban</w:t>
            </w:r>
            <w:r>
              <w:t xml:space="preserve"> a felsőoktatásban tanuló diákoknak, iskolai tanulóknak és szakképzésben résztvevőknek szóló mobilitási tevékenységek növelésével és előmozdításával</w:t>
            </w:r>
            <w:r>
              <w:rPr>
                <w:b/>
                <w:i/>
              </w:rPr>
              <w:t xml:space="preserve"> érhető el</w:t>
            </w:r>
            <w:r>
              <w:t>. Az alacsony iskolai végzettségű felnőtt tanulók mobilitását be kell építeni az együttműködési partnerségekbe. A több fiatal bevonása érdekében bővíteni kell a nem formális tanulási tevékenységekben részt vevő fiataloknak szóló mobilitási lehetőségeket is. A multiplikátorhatásra való tekintettel meg kell erősíteni az oktatás, képzés, ifjúságügy és sport terén dolgozók mobilitását is. A programnak – a valódi európai oktatási térség jövőképével összhangban – a folyamatok (úgymint az európai diákigazolvány) digitalizálásának támogatásával is ösztönöznie kell a mobilitást és a csereprogramokat, valamint elő kell mozdítania a diákok oktatási és kulturális tevékenységekben való részvételét. Ez a kezdeményezés fontos lépés lehet ahhoz, hogy a mobilitás mindenki számára valósággá váljon először is azáltal, hogy a felsőoktatási intézmények a hallgatói mobilitás színvonalának további növelése mellett több cserediákot küldhessenek és fogadhassanak, valamint annak lehetővé tétele által, hogy a diákok már a külföldi intézménybe való érkezés előtt hozzáférhessenek különböző szolgáltatásokhoz (könyvtár, közlekedés, szállás).</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CFCC7BF" w14:textId="6DDE7914" w:rsidR="003B2BB4" w:rsidRPr="00D36D33" w:rsidRDefault="003B2BB4" w:rsidP="00555781">
            <w:pPr>
              <w:ind w:right="85"/>
              <w:contextualSpacing/>
            </w:pPr>
            <w:r>
              <w:t xml:space="preserve">A programnak </w:t>
            </w:r>
            <w:r>
              <w:rPr>
                <w:b/>
                <w:i/>
              </w:rPr>
              <w:t>ki</w:t>
            </w:r>
            <w:r>
              <w:t xml:space="preserve"> kell </w:t>
            </w:r>
            <w:r>
              <w:rPr>
                <w:b/>
                <w:i/>
              </w:rPr>
              <w:t>építenie</w:t>
            </w:r>
            <w:r>
              <w:t xml:space="preserve"> a meglévő, tanulási célú mobilitási lehetőségeket, különösen a felsőoktatásban tanuló diákoknak, iskolai tanulóknak és szakképzésben résztvevőknek szóló mobilitási tevékenységek növelésével és előmozdításával. Az alacsony iskolai végzettségű felnőtt tanulók mobilitását be kell építeni az együttműködési partnerségekbe. A több fiatal bevonása érdekében bővíteni kell a nem formális tanulási tevékenységekben részt vevő fiataloknak szóló mobilitási lehetőségeket is. A multiplikátorhatásra való tekintettel meg kell erősíteni az oktatás, képzés, ifjúságügy és sport terén dolgozók mobilitását is. A programnak – a valódi európai oktatási térség jövőképével összhangban – </w:t>
            </w:r>
            <w:r>
              <w:rPr>
                <w:b/>
                <w:i/>
              </w:rPr>
              <w:t xml:space="preserve">azoknak a szervezeteknek a támogatásával, amelyek a fogadó országban kialakítják a tanulók, valamint az iskolarendszeren kívüli, szakképzési és általános képzési intézmények közötti kapcsolatokat, különös tekintettel a kevesebb lehetőséggel rendelkező fiatalokkal dolgozó intézményekre, valamint </w:t>
            </w:r>
            <w:r>
              <w:t>a folyamatok (úgymint az európai diákigazolvány) digitalizálásának támogatásával is ösztönöznie kell a mobilitást és a csereprogramokat, valamint elő kell mozdítania a diákok oktatási és kulturális tevékenységekben való részvételét. Ez a kezdeményezés fontos lépés lehet ahhoz, hogy a mobilitás mindenki számára valósággá váljon először is azáltal, hogy a felsőoktatási intézmények a hallgatói mobilitás színvonalának további növelése mellett több cserediákot küldhessenek és fogadhassanak, valamint annak lehetővé tétele által, hogy a diákok már a külföldi intézménybe való érkezés előtt hozzáférhessenek különböző szolgáltatásokhoz (könyvtár, közlekedés, szállás).</w:t>
            </w:r>
          </w:p>
        </w:tc>
      </w:tr>
    </w:tbl>
    <w:p w14:paraId="76EDCB60"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679BDE34"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BA016EA" w14:textId="77777777" w:rsidR="003B2BB4" w:rsidRPr="00D36D33" w:rsidRDefault="003B2BB4" w:rsidP="00555781">
            <w:pPr>
              <w:contextualSpacing/>
              <w:jc w:val="center"/>
            </w:pPr>
            <w:r>
              <w:rPr>
                <w:b/>
                <w:i/>
              </w:rPr>
              <w:t>Indokolás</w:t>
            </w:r>
          </w:p>
        </w:tc>
      </w:tr>
      <w:tr w:rsidR="003B2BB4" w:rsidRPr="00D36D33" w14:paraId="15FED7C8" w14:textId="77777777" w:rsidTr="00761F73">
        <w:trPr>
          <w:trHeight w:val="380"/>
        </w:trPr>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1A870DE" w14:textId="77777777" w:rsidR="003B2BB4" w:rsidRPr="00D36D33" w:rsidRDefault="003B2BB4" w:rsidP="00555781">
            <w:pPr>
              <w:ind w:right="85"/>
              <w:contextualSpacing/>
            </w:pPr>
            <w:r>
              <w:t xml:space="preserve">A tanulók, valamint a szakképzési és általános képzést nyújtó intézmények közötti kapcsolatokat támogató szervezetek munkája bizonyította, hogy ezek a szervezetek hozzájárulhatnak ahhoz, hogy a </w:t>
            </w:r>
            <w:r>
              <w:lastRenderedPageBreak/>
              <w:t>fogadó ország tanulói könnyen hozzáférhető módon kapcsolatba léphessenek kortársaikkal Európa-szerte, ami különösen a kevesebb lehetőséggel rendelkező fiatalok esetében bír jelentőséggel.</w:t>
            </w:r>
          </w:p>
        </w:tc>
      </w:tr>
    </w:tbl>
    <w:p w14:paraId="6CA8D30B" w14:textId="77777777" w:rsidR="003B2BB4" w:rsidRPr="00D36D33" w:rsidRDefault="003B2BB4" w:rsidP="00555781">
      <w:pPr>
        <w:ind w:left="360"/>
        <w:rPr>
          <w:lang w:val="de-DE"/>
        </w:rPr>
      </w:pPr>
    </w:p>
    <w:p w14:paraId="7B76C542" w14:textId="77777777" w:rsidR="003B2BB4" w:rsidRPr="00D36D33" w:rsidRDefault="003B2BB4" w:rsidP="00555781">
      <w:pPr>
        <w:ind w:left="360"/>
        <w:jc w:val="center"/>
      </w:pPr>
      <w:r>
        <w:rPr>
          <w:b/>
        </w:rPr>
        <w:t>12. módosítás</w:t>
      </w:r>
    </w:p>
    <w:p w14:paraId="167A5F61" w14:textId="77777777" w:rsidR="003B2BB4" w:rsidRPr="00D36D33" w:rsidRDefault="003B2BB4" w:rsidP="00555781">
      <w:pPr>
        <w:ind w:left="360"/>
        <w:jc w:val="center"/>
      </w:pPr>
      <w:r>
        <w:rPr>
          <w:b/>
        </w:rPr>
        <w:t>(21) preambulumbekezdés</w:t>
      </w:r>
    </w:p>
    <w:p w14:paraId="6FA9BD04"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435EAAE0" w14:textId="77777777" w:rsidTr="00253EEF">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DC525CE"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6F484A7E" w14:textId="77777777" w:rsidR="003B2BB4" w:rsidRPr="00D36D33" w:rsidRDefault="003B2BB4" w:rsidP="00555781">
            <w:pPr>
              <w:contextualSpacing/>
              <w:jc w:val="center"/>
            </w:pPr>
            <w:r>
              <w:rPr>
                <w:b/>
                <w:i/>
              </w:rPr>
              <w:t xml:space="preserve">Az RB módosítása </w:t>
            </w:r>
          </w:p>
        </w:tc>
      </w:tr>
      <w:tr w:rsidR="003B2BB4" w:rsidRPr="00D36D33" w14:paraId="01520F44"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D4D6CCA" w14:textId="0AD7DE98" w:rsidR="003B2BB4" w:rsidRPr="00D36D33" w:rsidRDefault="003B2BB4" w:rsidP="00555781">
            <w:pPr>
              <w:contextualSpacing/>
            </w:pPr>
            <w:r>
              <w:t>A programnak – többek között az ifjúsági részvételt előmozdító projektek támogatása révén – ösztönöznie kell a fiatalok európai demokratikus életben való részvételét, hogy megtanulják a civil társadalomban való részvételt, bővítve a közös európai értékekkel, köztük az alapvető jogokkal kapcsolatos ismereteket, kapcsolatot teremtve a fiatalok és a helyi, nemzeti és uniós szintű döntéshozók között, valamint elősegítve az európai integrációs folyamatot.</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E536B8F" w14:textId="77777777" w:rsidR="003B2BB4" w:rsidRPr="00D36D33" w:rsidRDefault="003B2BB4" w:rsidP="00555781">
            <w:pPr>
              <w:ind w:right="85"/>
              <w:contextualSpacing/>
            </w:pPr>
            <w:r>
              <w:t xml:space="preserve">A programnak – többek között az ifjúsági részvételt előmozdító projektek támogatása révén – ösztönöznie kell a fiatalok európai demokratikus életben való részvételét, hogy megtanulják a civil társadalomban való részvételt, bővítve a közös európai értékekkel, köztük az alapvető jogokkal kapcsolatos ismereteket, kapcsolatot teremtve a fiatalok és a helyi, </w:t>
            </w:r>
            <w:r>
              <w:rPr>
                <w:b/>
                <w:i/>
              </w:rPr>
              <w:t>regionális,</w:t>
            </w:r>
            <w:r>
              <w:t xml:space="preserve"> nemzeti és uniós szintű döntéshozók között, valamint elősegítve az európai integrációs folyamatot. </w:t>
            </w:r>
          </w:p>
        </w:tc>
      </w:tr>
    </w:tbl>
    <w:p w14:paraId="44204DAA"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6FF97957"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65041CF" w14:textId="77777777" w:rsidR="003B2BB4" w:rsidRPr="00D36D33" w:rsidRDefault="003B2BB4" w:rsidP="00555781">
            <w:pPr>
              <w:contextualSpacing/>
              <w:jc w:val="center"/>
            </w:pPr>
            <w:r>
              <w:rPr>
                <w:b/>
                <w:i/>
              </w:rPr>
              <w:t>Indokolás</w:t>
            </w:r>
          </w:p>
        </w:tc>
      </w:tr>
      <w:tr w:rsidR="003B2BB4" w:rsidRPr="00D36D33" w14:paraId="2CD96EAA" w14:textId="77777777" w:rsidTr="00761F73">
        <w:trPr>
          <w:trHeight w:val="380"/>
        </w:trPr>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0B0E1F6" w14:textId="77777777" w:rsidR="003B2BB4" w:rsidRPr="00D36D33" w:rsidRDefault="003B2BB4" w:rsidP="00555781">
            <w:pPr>
              <w:ind w:right="85"/>
              <w:contextualSpacing/>
            </w:pPr>
            <w:r>
              <w:t>Figyelembe kell venni mind a helyi, mind pedig a regionális sajátosságokat.</w:t>
            </w:r>
          </w:p>
        </w:tc>
      </w:tr>
    </w:tbl>
    <w:p w14:paraId="2C77307F" w14:textId="77777777" w:rsidR="003B2BB4" w:rsidRPr="00D36D33" w:rsidRDefault="003B2BB4" w:rsidP="00555781">
      <w:pPr>
        <w:ind w:left="360"/>
        <w:rPr>
          <w:lang w:val="de-DE"/>
        </w:rPr>
      </w:pPr>
    </w:p>
    <w:p w14:paraId="68D5B9A1" w14:textId="77777777" w:rsidR="003B2BB4" w:rsidRPr="00D36D33" w:rsidRDefault="003B2BB4" w:rsidP="00555781">
      <w:pPr>
        <w:ind w:left="360"/>
        <w:jc w:val="center"/>
      </w:pPr>
      <w:r>
        <w:rPr>
          <w:b/>
        </w:rPr>
        <w:t>13. módosítás</w:t>
      </w:r>
    </w:p>
    <w:p w14:paraId="6A3F3FA9" w14:textId="77777777" w:rsidR="003B2BB4" w:rsidRPr="00D36D33" w:rsidRDefault="003B2BB4" w:rsidP="00555781">
      <w:pPr>
        <w:ind w:left="360"/>
        <w:jc w:val="center"/>
      </w:pPr>
      <w:r>
        <w:rPr>
          <w:b/>
        </w:rPr>
        <w:t>(22) preambulumbekezdés</w:t>
      </w:r>
    </w:p>
    <w:p w14:paraId="177A1EFF"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636C24B7"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303E5FE"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79B1473" w14:textId="77777777" w:rsidR="003B2BB4" w:rsidRPr="00D36D33" w:rsidRDefault="003B2BB4" w:rsidP="00555781">
            <w:pPr>
              <w:contextualSpacing/>
              <w:jc w:val="center"/>
            </w:pPr>
            <w:r>
              <w:rPr>
                <w:b/>
                <w:i/>
              </w:rPr>
              <w:t xml:space="preserve">Az RB módosítása </w:t>
            </w:r>
          </w:p>
        </w:tc>
      </w:tr>
      <w:tr w:rsidR="003B2BB4" w:rsidRPr="00D36D33" w14:paraId="6F06182D" w14:textId="77777777" w:rsidTr="00761F73">
        <w:trPr>
          <w:trHeight w:val="1114"/>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8C2891F" w14:textId="1683171B" w:rsidR="003B2BB4" w:rsidRPr="00D36D33" w:rsidRDefault="003B2BB4" w:rsidP="00555781">
            <w:pPr>
              <w:ind w:right="59"/>
              <w:contextualSpacing/>
            </w:pPr>
            <w:r>
              <w:t>A programnak több lehetőséget kell kínálnia a fiatalok számára, hogy külföldi tanulási tapasztalatok segítségével fedezzék fel Európát. A tizennyolc évesek</w:t>
            </w:r>
            <w:r>
              <w:rPr>
                <w:b/>
                <w:i/>
              </w:rPr>
              <w:t xml:space="preserve"> ‒ különösen a kevesebb lehetőséggel rendelkezők ‒</w:t>
            </w:r>
            <w:r>
              <w:t xml:space="preserve"> számára lehetőséget kell biztosítani, hogy egy rövid informális oktatási tevékenység keretében egyénileg vagy csoportosan utazzák be első alkalommal Európát, aminek révén erősödhet bennük az Európai Unióhoz tartozás érzése, és felfedezhetik a kontinens kulturális sokféleségét. A programnak </w:t>
            </w:r>
            <w:r>
              <w:rPr>
                <w:b/>
                <w:i/>
              </w:rPr>
              <w:t>meg kell határoznia a résztvevők eléréséért és kiválasztásáért felelős</w:t>
            </w:r>
            <w:r>
              <w:t xml:space="preserve"> szerveket, továbbá támogatnia kell a tapasztalatszerzés tanulási dimenzióját gazdagító tevékenységeket.</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A133C89" w14:textId="389E7DC5" w:rsidR="003B2BB4" w:rsidRPr="00D36D33" w:rsidRDefault="003B2BB4" w:rsidP="00555781">
            <w:pPr>
              <w:ind w:right="85"/>
              <w:contextualSpacing/>
            </w:pPr>
            <w:r>
              <w:t xml:space="preserve">A programnak több lehetőséget kell kínálnia a fiatalok számára, hogy külföldi tanulási tapasztalatok segítségével fedezzék fel Európát. A tizennyolc évesek számára lehetőséget kell biztosítani, hogy egy rövid informális oktatási tevékenység keretében egyénileg vagy csoportosan </w:t>
            </w:r>
            <w:r>
              <w:rPr>
                <w:b/>
                <w:i/>
              </w:rPr>
              <w:t xml:space="preserve">saját maguk </w:t>
            </w:r>
            <w:r>
              <w:t xml:space="preserve">utazzák be első alkalommal Európát, aminek révén erősödhet bennük az Európai Unióhoz tartozás érzése, és felfedezhetik a kontinens kulturális sokféleségét. </w:t>
            </w:r>
            <w:r>
              <w:rPr>
                <w:b/>
                <w:i/>
              </w:rPr>
              <w:t xml:space="preserve">Minden fiatal számára lehetővé kell tenni a programban való részvételt, hogy a különböző élethátterű fiatalok is találkozhassanak. Kívánatos lenne, hogy a kevesebb lehetőséggel rendelkező fiatalok számára az utazási költségek mellett ösztöndíjat is rendelkezésre bocsátanának az ellátás és a szállás, valamint – szükség esetén – a kíséret fedezésére. Ez a program lehetne a köz- és magánszféra közötti </w:t>
            </w:r>
            <w:r>
              <w:rPr>
                <w:b/>
                <w:i/>
              </w:rPr>
              <w:lastRenderedPageBreak/>
              <w:t xml:space="preserve">partnerség projektje is, hogy pénzügyileg is gyorsabban és többet lehessen elérni, például a mobilitási és idegenforgalmi ágazat segítségével. </w:t>
            </w:r>
            <w:r>
              <w:t xml:space="preserve">A programnak </w:t>
            </w:r>
            <w:r>
              <w:rPr>
                <w:b/>
                <w:i/>
              </w:rPr>
              <w:t xml:space="preserve">regionális vagy helyi szinten ki kell jelölnie azokat a </w:t>
            </w:r>
            <w:r>
              <w:t xml:space="preserve">szerveket, </w:t>
            </w:r>
            <w:r>
              <w:rPr>
                <w:b/>
                <w:i/>
              </w:rPr>
              <w:t xml:space="preserve">amelyek az információk megfelelő médiákon, valamint a formális vagy nem formális oktatási intézményeken keresztül történő terjesztéséért felelnek, </w:t>
            </w:r>
            <w:r>
              <w:t>továbbá támogatnia kell a tapasztalatszerzés tanulási dimenzióját gazdagító tevékenységeket.</w:t>
            </w:r>
          </w:p>
        </w:tc>
      </w:tr>
    </w:tbl>
    <w:p w14:paraId="57DA7054"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0D4065A9"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2143BA0" w14:textId="77777777" w:rsidR="003B2BB4" w:rsidRPr="00D36D33" w:rsidRDefault="003B2BB4" w:rsidP="00527A72">
            <w:pPr>
              <w:keepNext/>
              <w:keepLines/>
              <w:contextualSpacing/>
              <w:jc w:val="center"/>
            </w:pPr>
            <w:r>
              <w:rPr>
                <w:b/>
                <w:i/>
              </w:rPr>
              <w:t>Indokolás</w:t>
            </w:r>
          </w:p>
        </w:tc>
      </w:tr>
      <w:tr w:rsidR="007E1D1D" w:rsidRPr="007E1D1D" w14:paraId="695BFF2F"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A88B385" w14:textId="2F24E919" w:rsidR="003B2BB4" w:rsidRPr="007E1D1D" w:rsidRDefault="003B2BB4" w:rsidP="00527A72">
            <w:pPr>
              <w:ind w:right="59"/>
              <w:contextualSpacing/>
            </w:pPr>
            <w:r>
              <w:t>Ahhoz, hogy ezzel az informális tanulási ajánlattal ténylegesen elérjék többek között a munkanélküli vagy testi fogyatékos fiatalokat, nem elégségesek az információterjesztés szokásos csatornái. Emellett nagy segítséget nyújt, ha nemcsak magát az útiköltséget finanszírozzák, hanem ösztöndíjat is folyósítanak az ilyen esetekkel együtt járó további költségek fedezésére.</w:t>
            </w:r>
          </w:p>
        </w:tc>
      </w:tr>
    </w:tbl>
    <w:p w14:paraId="4C01DF32" w14:textId="77777777" w:rsidR="003B2BB4" w:rsidRPr="00D36D33" w:rsidRDefault="003B2BB4" w:rsidP="00555781">
      <w:pPr>
        <w:ind w:left="360"/>
        <w:jc w:val="center"/>
        <w:rPr>
          <w:lang w:val="de-DE"/>
        </w:rPr>
      </w:pPr>
    </w:p>
    <w:p w14:paraId="7EDC595A" w14:textId="77777777" w:rsidR="003B2BB4" w:rsidRPr="00D36D33" w:rsidRDefault="003B2BB4" w:rsidP="00555781">
      <w:pPr>
        <w:ind w:left="360"/>
        <w:jc w:val="center"/>
      </w:pPr>
      <w:r>
        <w:rPr>
          <w:b/>
        </w:rPr>
        <w:t>14. módosítás</w:t>
      </w:r>
    </w:p>
    <w:p w14:paraId="665CC9E1" w14:textId="77777777" w:rsidR="003B2BB4" w:rsidRPr="00D36D33" w:rsidRDefault="003B2BB4" w:rsidP="00555781">
      <w:pPr>
        <w:ind w:left="360"/>
        <w:jc w:val="center"/>
      </w:pPr>
      <w:r>
        <w:rPr>
          <w:b/>
        </w:rPr>
        <w:t>(24) preambulumbekezdés</w:t>
      </w:r>
    </w:p>
    <w:p w14:paraId="10B9A411"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051530FE"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CD7E629"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1A57F66" w14:textId="77777777" w:rsidR="003B2BB4" w:rsidRPr="00D36D33" w:rsidRDefault="003B2BB4" w:rsidP="00555781">
            <w:pPr>
              <w:contextualSpacing/>
              <w:jc w:val="center"/>
            </w:pPr>
            <w:r>
              <w:rPr>
                <w:b/>
                <w:i/>
              </w:rPr>
              <w:t xml:space="preserve">Az RB módosítása </w:t>
            </w:r>
          </w:p>
        </w:tc>
      </w:tr>
      <w:tr w:rsidR="003B2BB4" w:rsidRPr="00D36D33" w14:paraId="43A6C9C8" w14:textId="77777777" w:rsidTr="00761F73">
        <w:trPr>
          <w:trHeight w:val="3136"/>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840172D" w14:textId="334BC5DC" w:rsidR="003B2BB4" w:rsidRPr="00D36D33" w:rsidRDefault="003B2BB4" w:rsidP="00555781">
            <w:pPr>
              <w:contextualSpacing/>
            </w:pPr>
            <w:r>
              <w:t xml:space="preserve">A programnak támogatnia kell azokat az intézkedéseket, amelyek az </w:t>
            </w:r>
            <w:r>
              <w:rPr>
                <w:b/>
                <w:i/>
              </w:rPr>
              <w:t>oktatással,</w:t>
            </w:r>
            <w:r>
              <w:t xml:space="preserve"> képzéssel</w:t>
            </w:r>
            <w:r>
              <w:rPr>
                <w:b/>
                <w:i/>
              </w:rPr>
              <w:t>, a fiatalokkal és a sporttal</w:t>
            </w:r>
            <w:r>
              <w:t xml:space="preserve"> foglalkozó intézmények és szervezetek közötti együttműködést ösztönzik, elismerve, hogy ezen intézkedések alapvető szerepet töltenek be abban, hogy felvértezzék az embereket a változó világhoz való alkalmazkodáshoz szükséges ismeretekkel, készségekkel és kompetenciákkal, és kiteljesítsék innovációs, kreativitási és vállalkozói lehetőségeinket</w:t>
            </w:r>
            <w:r>
              <w:rPr>
                <w:b/>
                <w:i/>
              </w:rPr>
              <w:t>, különösen a digitális gazdaságon belül</w:t>
            </w:r>
            <w:r>
              <w:t>.</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DC61880" w14:textId="77777777" w:rsidR="003B2BB4" w:rsidRPr="00D36D33" w:rsidRDefault="003B2BB4" w:rsidP="00555781">
            <w:pPr>
              <w:ind w:right="59"/>
              <w:contextualSpacing/>
            </w:pPr>
            <w:r>
              <w:t xml:space="preserve">A programnak támogatnia kell azokat az intézkedéseket, amelyek az </w:t>
            </w:r>
            <w:r>
              <w:rPr>
                <w:b/>
                <w:i/>
              </w:rPr>
              <w:t>iskolarendszeren kívüli képzéssel,</w:t>
            </w:r>
            <w:r>
              <w:t xml:space="preserve"> </w:t>
            </w:r>
            <w:r>
              <w:rPr>
                <w:b/>
                <w:i/>
              </w:rPr>
              <w:t xml:space="preserve">szakképzéssel és általános </w:t>
            </w:r>
            <w:r>
              <w:t xml:space="preserve">képzéssel foglalkozó intézmények és szervezetek közötti együttműködést ösztönzik, </w:t>
            </w:r>
            <w:r>
              <w:rPr>
                <w:b/>
                <w:i/>
              </w:rPr>
              <w:t>mind az oktatás egyes területein, mind több területet átfogó módon, átlátható feltételek mellett, a helyszínen</w:t>
            </w:r>
            <w:r>
              <w:t xml:space="preserve">, elismerve, hogy ezen intézkedések alapvető szerepet töltenek be abban, hogy felvértezzék az embereket a változó világhoz való alkalmazkodáshoz szükséges ismeretekkel, készségekkel és kompetenciákkal, és kiteljesítsék innovációs, kreativitási és vállalkozói lehetőségeinket. </w:t>
            </w:r>
          </w:p>
        </w:tc>
      </w:tr>
    </w:tbl>
    <w:p w14:paraId="7097CAFB"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29F76EED"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A52EA69" w14:textId="77777777" w:rsidR="003B2BB4" w:rsidRPr="00D36D33" w:rsidRDefault="003B2BB4" w:rsidP="00555781">
            <w:pPr>
              <w:keepNext/>
              <w:contextualSpacing/>
              <w:jc w:val="center"/>
            </w:pPr>
            <w:r>
              <w:rPr>
                <w:b/>
                <w:i/>
              </w:rPr>
              <w:t>Indokolás</w:t>
            </w:r>
          </w:p>
        </w:tc>
      </w:tr>
      <w:tr w:rsidR="003B2BB4" w:rsidRPr="00D36D33" w14:paraId="56B941A6" w14:textId="77777777" w:rsidTr="00761F73">
        <w:trPr>
          <w:trHeight w:val="380"/>
        </w:trPr>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4673718" w14:textId="77777777" w:rsidR="003B2BB4" w:rsidRPr="00D36D33" w:rsidRDefault="003B2BB4" w:rsidP="00555781">
            <w:pPr>
              <w:ind w:right="59"/>
              <w:contextualSpacing/>
            </w:pPr>
            <w:r>
              <w:t>Mivel a digitális gazdaságon kívül is vannak kreatív és innovatív oktatási intézmények, a szövegben szereplő kiemelés indokolatlan korlátozást jelentene.</w:t>
            </w:r>
          </w:p>
        </w:tc>
      </w:tr>
    </w:tbl>
    <w:p w14:paraId="6ED0C138" w14:textId="00F6FF82" w:rsidR="00786BDA" w:rsidRDefault="00786BDA" w:rsidP="00555781">
      <w:pPr>
        <w:ind w:left="360"/>
        <w:rPr>
          <w:lang w:val="de-DE"/>
        </w:rPr>
      </w:pPr>
      <w:r>
        <w:rPr>
          <w:lang w:val="de-DE"/>
        </w:rPr>
        <w:br w:type="page"/>
      </w:r>
    </w:p>
    <w:p w14:paraId="59918092" w14:textId="77777777" w:rsidR="003B2BB4" w:rsidRPr="00D36D33" w:rsidRDefault="003B2BB4" w:rsidP="00555781">
      <w:pPr>
        <w:ind w:left="360"/>
        <w:jc w:val="center"/>
      </w:pPr>
      <w:r>
        <w:rPr>
          <w:b/>
        </w:rPr>
        <w:lastRenderedPageBreak/>
        <w:t>15. módosítás</w:t>
      </w:r>
    </w:p>
    <w:p w14:paraId="3DFE4B37" w14:textId="77777777" w:rsidR="003B2BB4" w:rsidRPr="00D36D33" w:rsidRDefault="003B2BB4" w:rsidP="00555781">
      <w:pPr>
        <w:ind w:left="360"/>
        <w:jc w:val="center"/>
      </w:pPr>
      <w:r>
        <w:rPr>
          <w:b/>
        </w:rPr>
        <w:t>(25) preambulumbekezdés</w:t>
      </w:r>
    </w:p>
    <w:p w14:paraId="5F983F37"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102A4DD5"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6EBE10B2"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4" w:space="0" w:color="auto"/>
              <w:right w:val="single" w:sz="6" w:space="0" w:color="00000A"/>
            </w:tcBorders>
            <w:shd w:val="clear" w:color="auto" w:fill="FFFFFF"/>
            <w:tcMar>
              <w:left w:w="10" w:type="dxa"/>
              <w:right w:w="10" w:type="dxa"/>
            </w:tcMar>
          </w:tcPr>
          <w:p w14:paraId="0C937634" w14:textId="77777777" w:rsidR="003B2BB4" w:rsidRPr="00D36D33" w:rsidRDefault="003B2BB4" w:rsidP="00555781">
            <w:pPr>
              <w:contextualSpacing/>
              <w:jc w:val="center"/>
            </w:pPr>
            <w:r>
              <w:rPr>
                <w:b/>
                <w:i/>
              </w:rPr>
              <w:t xml:space="preserve">Az RB módosítása </w:t>
            </w:r>
          </w:p>
        </w:tc>
      </w:tr>
      <w:tr w:rsidR="003B2BB4" w:rsidRPr="00D36D33" w14:paraId="48CFB219" w14:textId="77777777" w:rsidTr="00761F73">
        <w:trPr>
          <w:trHeight w:val="1114"/>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1F8ACE9" w14:textId="7CF253D9" w:rsidR="003B2BB4" w:rsidRPr="00D36D33" w:rsidRDefault="003B2BB4" w:rsidP="00555781">
            <w:pPr>
              <w:ind w:right="59"/>
              <w:contextualSpacing/>
            </w:pPr>
            <w:r>
              <w:t>Az Európai Tanács a 2017. december 14-i következtetéseiben felkérte a tagállamokat, a Tanácsot és a Bizottságot, hogy folytassák a több kezdeményezést érintő munkát, hogy új szintre emeljék az oktatás és képzés terén folytatott európai együttműködést, többek között a különféle uniós egyetemek alulról felfelé építkező hálózataiból álló „Európai egyetemek” 2024-ig történő létrehozásának előmozdításával. A programnak támogatnia kell a hálózat európai egyetemeit.</w:t>
            </w:r>
          </w:p>
        </w:tc>
        <w:tc>
          <w:tcPr>
            <w:tcW w:w="4618" w:type="dxa"/>
            <w:tcBorders>
              <w:top w:val="single" w:sz="4" w:space="0" w:color="auto"/>
              <w:left w:val="single" w:sz="6" w:space="0" w:color="00000A"/>
              <w:bottom w:val="single" w:sz="6" w:space="0" w:color="00000A"/>
              <w:right w:val="single" w:sz="6" w:space="0" w:color="00000A"/>
            </w:tcBorders>
            <w:shd w:val="clear" w:color="auto" w:fill="FFFFFF"/>
            <w:tcMar>
              <w:left w:w="108" w:type="dxa"/>
              <w:right w:w="108" w:type="dxa"/>
            </w:tcMar>
          </w:tcPr>
          <w:p w14:paraId="7C0E39E3" w14:textId="28CEBED0" w:rsidR="003B2BB4" w:rsidRPr="00D36D33" w:rsidRDefault="003B2BB4" w:rsidP="00555781">
            <w:pPr>
              <w:ind w:right="59"/>
              <w:contextualSpacing/>
            </w:pPr>
            <w:r>
              <w:t>Az Európai Tanács a 2017. december 14-i következtetéseiben felkérte a tagállamokat, a Tanácsot és a Bizottságot, hogy folytassák a több kezdeményezést érintő munkát, hogy új szintre emeljék az oktatás és képzés terén folytatott európai együttműködést, többek között a különféle uniós egyetemek alulról felfelé építkező hálózataiból álló „Európai egyetemek” 2024-ig történő létrehozásának előmozdításával. A programnak támogatnia kell a hálózat európai egyetemeit</w:t>
            </w:r>
            <w:r>
              <w:rPr>
                <w:b/>
                <w:i/>
              </w:rPr>
              <w:t>, nem tévesztve szem elől viszont a hallgatók mobilitása terén meghatározott prioritásokat</w:t>
            </w:r>
            <w:r>
              <w:t>.</w:t>
            </w:r>
            <w:r>
              <w:rPr>
                <w:b/>
                <w:i/>
              </w:rPr>
              <w:t xml:space="preserve"> Emellett a programnak – különösen a szakképzés területén – támogatnia kell az „európai iskolák” kiépítését, amelyekben modellszerűen kipróbálják az ifjúsági és személyzeti cserekapcsolatok, a tantervek egyeztetése és a virtuális együttműködés területein 5–7 ország intézményei között folyó tartós együttműködést. A mélyreható értékelés és dokumentálás, valamint a lehető legszélesebb körű átadás érdekében ebben a kiépítési szakaszban a pedagógiai nyomon követést is biztosítani kell.</w:t>
            </w:r>
          </w:p>
        </w:tc>
      </w:tr>
    </w:tbl>
    <w:p w14:paraId="62F053DA"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4A1ECF76"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8CDCC2E" w14:textId="77777777" w:rsidR="003B2BB4" w:rsidRPr="00D36D33" w:rsidRDefault="003B2BB4" w:rsidP="00555781">
            <w:pPr>
              <w:contextualSpacing/>
              <w:jc w:val="center"/>
            </w:pPr>
            <w:r>
              <w:rPr>
                <w:b/>
                <w:i/>
              </w:rPr>
              <w:t>Indokolás</w:t>
            </w:r>
          </w:p>
        </w:tc>
      </w:tr>
      <w:tr w:rsidR="003B2BB4" w:rsidRPr="00D36D33" w14:paraId="399E4A58"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B09B80A" w14:textId="7115443A" w:rsidR="003B2BB4" w:rsidRPr="00D36D33" w:rsidRDefault="003B2BB4" w:rsidP="00555781">
            <w:pPr>
              <w:ind w:right="59"/>
              <w:contextualSpacing/>
            </w:pPr>
            <w:r>
              <w:t>Mivel az „európai oktatási térség” szilárd alapokat igényel az általános oktatás és szakképzés, valamint a nem formális oktatás területén, ezen a területen is lehetőséget kell biztosítani az alulról szerveződő megfelelő iskolai projektekre. Hiszen az európai egyetemekből és iskolákból álló működőképes európai hálózatok létrehozása nagyban hozzájárulhat a nemzetközi bizalom megteremtéséhez, hogy ezt aztán egy elmélyített és tartós együttműködésre használják fel. Egy első, például három éves szakasz után, amikor a szakképzés területén valósítanak meg egy projektet, a második szakaszban az általános oktatás területén is lehetőséget kellene teremteni „európai iskolák” létrehozására.</w:t>
            </w:r>
          </w:p>
          <w:p w14:paraId="5EE606C3" w14:textId="57E74F3E" w:rsidR="003B2BB4" w:rsidRPr="00D36D33" w:rsidRDefault="003B2BB4" w:rsidP="00555781">
            <w:pPr>
              <w:ind w:right="59"/>
              <w:contextualSpacing/>
            </w:pPr>
            <w:r>
              <w:t xml:space="preserve">Mindazonáltal mind a felsőoktatás, mind pedig az általános oktatás területén csak egyes „mintaprojektek” maradhatnak meg, hogy a támogatási prioritás továbbra is a hallgatók és a tanulók mobilitása maradjon. Erre a prioritásra azért van szükség, hogy – tekintettel a hallgatók és tanulók növekvő számára – megmaradjon, sőt növekedjen azoknak a százalékos aránya, akik „európai” úton vannak. </w:t>
            </w:r>
          </w:p>
        </w:tc>
      </w:tr>
    </w:tbl>
    <w:p w14:paraId="0E4A18A5" w14:textId="1AE84333" w:rsidR="00786BDA" w:rsidRDefault="00786BDA" w:rsidP="00555781">
      <w:pPr>
        <w:ind w:left="360"/>
        <w:jc w:val="center"/>
        <w:rPr>
          <w:lang w:val="de-DE"/>
        </w:rPr>
      </w:pPr>
      <w:r>
        <w:rPr>
          <w:lang w:val="de-DE"/>
        </w:rPr>
        <w:br w:type="page"/>
      </w:r>
    </w:p>
    <w:p w14:paraId="6A59A55A" w14:textId="77777777" w:rsidR="003B2BB4" w:rsidRPr="00D36D33" w:rsidRDefault="003B2BB4" w:rsidP="00555781">
      <w:pPr>
        <w:ind w:left="360"/>
        <w:jc w:val="center"/>
      </w:pPr>
      <w:r>
        <w:rPr>
          <w:b/>
        </w:rPr>
        <w:lastRenderedPageBreak/>
        <w:t>16. módosítás</w:t>
      </w:r>
    </w:p>
    <w:p w14:paraId="0C295506" w14:textId="77777777" w:rsidR="003B2BB4" w:rsidRPr="00D36D33" w:rsidRDefault="003B2BB4" w:rsidP="00555781">
      <w:pPr>
        <w:ind w:left="360"/>
        <w:jc w:val="center"/>
      </w:pPr>
      <w:r>
        <w:rPr>
          <w:b/>
        </w:rPr>
        <w:t>(42) preambulumbekezdés</w:t>
      </w:r>
    </w:p>
    <w:p w14:paraId="28AF8D2A"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608742F7"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1C750C2"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6720DC7" w14:textId="77777777" w:rsidR="003B2BB4" w:rsidRPr="00D36D33" w:rsidRDefault="003B2BB4" w:rsidP="00555781">
            <w:pPr>
              <w:contextualSpacing/>
              <w:jc w:val="center"/>
            </w:pPr>
            <w:r>
              <w:rPr>
                <w:b/>
                <w:i/>
              </w:rPr>
              <w:t xml:space="preserve">Az RB módosítása </w:t>
            </w:r>
          </w:p>
        </w:tc>
      </w:tr>
      <w:tr w:rsidR="003B2BB4" w:rsidRPr="00D36D33" w14:paraId="12EBE8CE" w14:textId="77777777" w:rsidTr="00761F73">
        <w:trPr>
          <w:trHeight w:val="1114"/>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020D5FF" w14:textId="77777777" w:rsidR="003B2BB4" w:rsidRPr="00D36D33" w:rsidRDefault="003B2BB4" w:rsidP="00555781">
            <w:pPr>
              <w:ind w:right="59"/>
              <w:contextualSpacing/>
            </w:pPr>
            <w:r>
              <w:t xml:space="preserve">Európai, nemzeti és helyi szinten is biztosítani kell a program által támogatott tevékenységek megfelelő célba juttatását, hirdetését és terjesztését. A célba juttatással, hirdetéssel és terjesztéssel kapcsolatos tevékenységekhez igénybe kell venni a program valamennyi végrehajtó szervét, adott esetben más fontos érdekelt felek támogatásával is. </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6BE706D" w14:textId="77777777" w:rsidR="003B2BB4" w:rsidRPr="00D36D33" w:rsidRDefault="003B2BB4" w:rsidP="00555781">
            <w:pPr>
              <w:ind w:right="59"/>
              <w:contextualSpacing/>
            </w:pPr>
            <w:r>
              <w:t>Európai, nemzeti</w:t>
            </w:r>
            <w:r>
              <w:rPr>
                <w:b/>
                <w:i/>
              </w:rPr>
              <w:t>, regionális</w:t>
            </w:r>
            <w:r>
              <w:t xml:space="preserve"> és helyi szinten is biztosítani kell a program által támogatott tevékenységek megfelelő célba juttatását, hirdetését és terjesztését. A célba juttatással, hirdetéssel és terjesztéssel kapcsolatos tevékenységekhez igénybe kell venni a program valamennyi végrehajtó szervét, adott esetben más fontos érdekelt felek támogatásával is. </w:t>
            </w:r>
          </w:p>
        </w:tc>
      </w:tr>
    </w:tbl>
    <w:p w14:paraId="7F4EED31"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00EB4223"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1EE6026" w14:textId="77777777" w:rsidR="003B2BB4" w:rsidRPr="00D36D33" w:rsidRDefault="003B2BB4" w:rsidP="00527A72">
            <w:pPr>
              <w:keepNext/>
              <w:contextualSpacing/>
              <w:jc w:val="center"/>
            </w:pPr>
            <w:r>
              <w:rPr>
                <w:b/>
                <w:i/>
              </w:rPr>
              <w:t>Indokolás</w:t>
            </w:r>
          </w:p>
        </w:tc>
      </w:tr>
      <w:tr w:rsidR="003B2BB4" w:rsidRPr="00D36D33" w14:paraId="41DEBB00"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C54F242" w14:textId="77777777" w:rsidR="003B2BB4" w:rsidRPr="00D36D33" w:rsidRDefault="003B2BB4" w:rsidP="00555781">
            <w:pPr>
              <w:contextualSpacing/>
            </w:pPr>
            <w:r>
              <w:t>Figyelembe kell venni mind a helyi, mind pedig a regionális sajátosságokat.</w:t>
            </w:r>
          </w:p>
        </w:tc>
      </w:tr>
    </w:tbl>
    <w:p w14:paraId="019C4D33" w14:textId="77777777" w:rsidR="003B2BB4" w:rsidRPr="00D36D33" w:rsidRDefault="003B2BB4" w:rsidP="00555781">
      <w:pPr>
        <w:ind w:left="360"/>
        <w:rPr>
          <w:lang w:val="de-DE"/>
        </w:rPr>
      </w:pPr>
    </w:p>
    <w:p w14:paraId="644A47DC" w14:textId="77777777" w:rsidR="003B2BB4" w:rsidRPr="00D36D33" w:rsidRDefault="003B2BB4" w:rsidP="00555781">
      <w:pPr>
        <w:ind w:left="360"/>
        <w:jc w:val="center"/>
      </w:pPr>
      <w:r>
        <w:rPr>
          <w:b/>
        </w:rPr>
        <w:t>17. módosítás</w:t>
      </w:r>
    </w:p>
    <w:p w14:paraId="10B3B4D1" w14:textId="77777777" w:rsidR="003B2BB4" w:rsidRPr="00D36D33" w:rsidRDefault="003B2BB4" w:rsidP="00555781">
      <w:pPr>
        <w:ind w:left="360"/>
        <w:jc w:val="center"/>
      </w:pPr>
      <w:r>
        <w:rPr>
          <w:b/>
        </w:rPr>
        <w:t>(44) preambulumbekezdés</w:t>
      </w:r>
    </w:p>
    <w:p w14:paraId="592C7876"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1133BB5F"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A162C19"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FA67DC4" w14:textId="77777777" w:rsidR="003B2BB4" w:rsidRPr="00D36D33" w:rsidRDefault="003B2BB4" w:rsidP="00555781">
            <w:pPr>
              <w:contextualSpacing/>
              <w:jc w:val="center"/>
            </w:pPr>
            <w:r>
              <w:rPr>
                <w:b/>
                <w:i/>
              </w:rPr>
              <w:t xml:space="preserve">Az RB módosítása </w:t>
            </w:r>
          </w:p>
        </w:tc>
      </w:tr>
      <w:tr w:rsidR="003B2BB4" w:rsidRPr="00D36D33" w14:paraId="3AA763A4" w14:textId="77777777" w:rsidTr="00761F73">
        <w:trPr>
          <w:trHeight w:val="1114"/>
        </w:trPr>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09AE259" w14:textId="78A702D9" w:rsidR="003B2BB4" w:rsidRPr="00D36D33" w:rsidRDefault="003B2BB4" w:rsidP="00555781">
            <w:pPr>
              <w:ind w:right="59"/>
              <w:contextualSpacing/>
            </w:pPr>
            <w:r>
              <w:t>E rendelet hatékony és eredményes végrehajtásának biztosítása érdekében a programnak maximálisan ki kell használnia a jelenlegi megvalósítási mechanizmusokat. A program végrehajtását ezért a Bizottságra és a nemzeti irodákra kell bízni. Ha megvalósítható, az eredményesség maximalizálása érdekében a nemzeti irodáknak azonosaknak kell lenniük az elődprogram irányítására kijelölt nemzeti irodákkal. Az előzetes megfelelőségi értékelést azokra a követelményekre kell korlátozni, amelyek újak és csak a programra jellemzőek, kivéve indokolt esetekben, például ha az érintett nemzeti iroda súlyos hibát követ el, vagy nem megfelelő teljesítményt nyújt.</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00EA6167" w14:textId="3A25343F" w:rsidR="003B2BB4" w:rsidRPr="00D36D33" w:rsidRDefault="003B2BB4" w:rsidP="00555781">
            <w:pPr>
              <w:ind w:right="59"/>
              <w:contextualSpacing/>
            </w:pPr>
            <w:r>
              <w:t>E rendelet hatékony és eredményes végrehajtásának biztosítása érdekében a programnak maximálisan ki kell használnia a jelenlegi megvalósítási mechanizmusokat</w:t>
            </w:r>
            <w:r>
              <w:rPr>
                <w:b/>
                <w:i/>
              </w:rPr>
              <w:t>, és a regionális szinttel szorosabban összekapcsolva kell kiépíteni</w:t>
            </w:r>
            <w:r>
              <w:t>. A program végrehajtását ezért a Bizottságra és a nemzeti irodákra kell bízni</w:t>
            </w:r>
            <w:r>
              <w:rPr>
                <w:b/>
                <w:i/>
              </w:rPr>
              <w:t>, amelyeket a regionális szinttel szorosabban összekapcsolva építenek ki</w:t>
            </w:r>
            <w:r>
              <w:t>. Ha megvalósítható, az eredményesség maximalizálása érdekében a nemzeti irodáknak</w:t>
            </w:r>
            <w:r>
              <w:rPr>
                <w:b/>
                <w:i/>
              </w:rPr>
              <w:t>, amelyek szorosabban</w:t>
            </w:r>
            <w:r>
              <w:t xml:space="preserve"> </w:t>
            </w:r>
            <w:r>
              <w:rPr>
                <w:b/>
                <w:i/>
              </w:rPr>
              <w:t xml:space="preserve">együttműködnek a regionális szinttel, </w:t>
            </w:r>
            <w:r>
              <w:t xml:space="preserve">azonosaknak kell lenniük az elődprogram irányítására kijelölt nemzeti irodákkal. </w:t>
            </w:r>
            <w:r>
              <w:rPr>
                <w:b/>
                <w:i/>
              </w:rPr>
              <w:t xml:space="preserve">A nemzeti irodák által hozott intézkedések hatékonyságának és elfogadottságának további növelése érdekében ezeknek az irodáknak az érintett érdekelt felekkel együttműködve helyi és regionális szinten tanácsadó testületeket és ombudsmani hivatalokat kell létrehozniuk, amelyek segítséget nyújtanak a közigazgatási eljárások és döntéshozatal javításában, valamint a lehetséges kifogások, továbbá a nemzeti irodák és a felhasználók közötti jogviták átlátható, szakmai és semleges </w:t>
            </w:r>
            <w:r>
              <w:rPr>
                <w:b/>
                <w:i/>
              </w:rPr>
              <w:lastRenderedPageBreak/>
              <w:t xml:space="preserve">eldöntésében. </w:t>
            </w:r>
            <w:r>
              <w:t xml:space="preserve">Az előzetes megfelelőségi értékelést azokra a követelményekre kell korlátozni, amelyek újak és csak a programra jellemzőek, kivéve indokolt esetekben, például ha az érintett nemzeti iroda súlyos hibát követ el, vagy nem megfelelő teljesítményt nyújt. </w:t>
            </w:r>
          </w:p>
        </w:tc>
      </w:tr>
    </w:tbl>
    <w:p w14:paraId="42A65F66"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2ABB796D"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3A6A2AD" w14:textId="77777777" w:rsidR="003B2BB4" w:rsidRPr="00D36D33" w:rsidRDefault="003B2BB4" w:rsidP="00555781">
            <w:pPr>
              <w:contextualSpacing/>
              <w:jc w:val="center"/>
            </w:pPr>
            <w:r>
              <w:rPr>
                <w:b/>
                <w:i/>
              </w:rPr>
              <w:t>Indokolás</w:t>
            </w:r>
          </w:p>
        </w:tc>
      </w:tr>
      <w:tr w:rsidR="003B2BB4" w:rsidRPr="00D36D33" w14:paraId="323CB4DD"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52E1560" w14:textId="77777777" w:rsidR="003B2BB4" w:rsidRPr="00D36D33" w:rsidRDefault="003B2BB4" w:rsidP="00555781">
            <w:pPr>
              <w:ind w:right="59"/>
              <w:contextualSpacing/>
            </w:pPr>
            <w:r>
              <w:t>Más nemzeti irodáknak is fel kellene használniuk azokat a jó tapasztalatokat, amelyek Németországban a Szövetségi Szakképzési Intézet (BIBB) szerzett a felhasználói tanácsadó testület létrehozásával, hogy az érintetteket még szorosabban bevonják a programba és különösen annak végrehajtásába.</w:t>
            </w:r>
          </w:p>
          <w:p w14:paraId="03F6E85C" w14:textId="77777777" w:rsidR="003B2BB4" w:rsidRPr="00D36D33" w:rsidRDefault="003B2BB4" w:rsidP="00555781">
            <w:pPr>
              <w:ind w:right="59"/>
              <w:contextualSpacing/>
            </w:pPr>
            <w:r>
              <w:t>Mivel korábban újra és újra kifogásokat nyújtottak be a nemzeti irodák támogatási határozataival szemben, és nem észszerű, hogy maguk a nemzeti irodák dönthessenek a határozataikkal szemben benyújtott kifogásokról, felkínálja magát az a megoldás, amelyet Ausztriában már a gyakorlatban is alkalmaznak, hogy megfelelő ombudsmani hivatalokat hoznak létre, amelyek biztosítják a döntéshozatali eljárás átláthatóságát, és hozzájárulhatnak a szakmailag kompetens, de semleges megoldásokhoz.</w:t>
            </w:r>
          </w:p>
        </w:tc>
      </w:tr>
    </w:tbl>
    <w:p w14:paraId="5DF358E7" w14:textId="77777777" w:rsidR="003B2BB4" w:rsidRPr="00D36D33" w:rsidRDefault="003B2BB4" w:rsidP="00555781">
      <w:pPr>
        <w:ind w:left="360"/>
        <w:rPr>
          <w:lang w:val="de-DE"/>
        </w:rPr>
      </w:pPr>
    </w:p>
    <w:p w14:paraId="1AF7B8B4" w14:textId="77777777" w:rsidR="003B2BB4" w:rsidRPr="00D36D33" w:rsidRDefault="003B2BB4" w:rsidP="00555781">
      <w:pPr>
        <w:ind w:left="360"/>
        <w:jc w:val="center"/>
      </w:pPr>
      <w:r>
        <w:rPr>
          <w:b/>
        </w:rPr>
        <w:t>18. módosítás</w:t>
      </w:r>
    </w:p>
    <w:p w14:paraId="2C758F82" w14:textId="77777777" w:rsidR="003B2BB4" w:rsidRPr="00D36D33" w:rsidRDefault="003B2BB4" w:rsidP="00555781">
      <w:pPr>
        <w:ind w:left="360"/>
        <w:jc w:val="center"/>
      </w:pPr>
      <w:r>
        <w:rPr>
          <w:b/>
        </w:rPr>
        <w:t>I. fejezet – 2. cikk – 6. pont (Fogalommeghatározások)</w:t>
      </w:r>
    </w:p>
    <w:p w14:paraId="350F37F5" w14:textId="77777777" w:rsidR="003B2BB4" w:rsidRPr="00D36D33" w:rsidRDefault="003B2BB4" w:rsidP="00555781">
      <w:pPr>
        <w:ind w:left="360"/>
        <w:rPr>
          <w:lang w:val="de-DE"/>
        </w:rPr>
      </w:pPr>
    </w:p>
    <w:tbl>
      <w:tblPr>
        <w:tblW w:w="9366" w:type="dxa"/>
        <w:tblLayout w:type="fixed"/>
        <w:tblCellMar>
          <w:left w:w="10" w:type="dxa"/>
          <w:right w:w="10" w:type="dxa"/>
        </w:tblCellMar>
        <w:tblLook w:val="0000" w:firstRow="0" w:lastRow="0" w:firstColumn="0" w:lastColumn="0" w:noHBand="0" w:noVBand="0"/>
      </w:tblPr>
      <w:tblGrid>
        <w:gridCol w:w="4618"/>
        <w:gridCol w:w="4748"/>
      </w:tblGrid>
      <w:tr w:rsidR="003B2BB4" w:rsidRPr="00D36D33" w14:paraId="3CB29057"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3E281A8" w14:textId="77777777" w:rsidR="003B2BB4" w:rsidRPr="00D36D33" w:rsidRDefault="003B2BB4" w:rsidP="00555781">
            <w:pPr>
              <w:contextualSpacing/>
              <w:jc w:val="center"/>
            </w:pPr>
            <w:r>
              <w:rPr>
                <w:b/>
                <w:i/>
              </w:rPr>
              <w:t>Az Európai Bizottság által javasolt szöveg</w:t>
            </w:r>
          </w:p>
        </w:tc>
        <w:tc>
          <w:tcPr>
            <w:tcW w:w="474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394C0BB" w14:textId="77777777" w:rsidR="003B2BB4" w:rsidRPr="00D36D33" w:rsidRDefault="003B2BB4" w:rsidP="00555781">
            <w:pPr>
              <w:contextualSpacing/>
              <w:jc w:val="center"/>
            </w:pPr>
            <w:r>
              <w:rPr>
                <w:b/>
                <w:i/>
              </w:rPr>
              <w:t xml:space="preserve">Az RB módosítása </w:t>
            </w:r>
          </w:p>
        </w:tc>
      </w:tr>
      <w:tr w:rsidR="003B2BB4" w:rsidRPr="00D36D33" w14:paraId="58597095"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419F7DC" w14:textId="405220A4" w:rsidR="003B2BB4" w:rsidRPr="00D36D33" w:rsidRDefault="003B2BB4" w:rsidP="00555781">
            <w:pPr>
              <w:ind w:right="59"/>
              <w:contextualSpacing/>
            </w:pPr>
            <w:r>
              <w:t>„szabadidősport”: helyi szinten, amatőr sportolók által szervezett formában gyakorolt sporttevékenység és tömegsport;</w:t>
            </w:r>
          </w:p>
        </w:tc>
        <w:tc>
          <w:tcPr>
            <w:tcW w:w="474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2C41B56" w14:textId="29BAFF8F" w:rsidR="003B2BB4" w:rsidRPr="00D36D33" w:rsidRDefault="003B2BB4" w:rsidP="00555781">
            <w:pPr>
              <w:ind w:right="132"/>
              <w:contextualSpacing/>
            </w:pPr>
            <w:r>
              <w:t xml:space="preserve">„szabadidősport”: helyi </w:t>
            </w:r>
            <w:r>
              <w:rPr>
                <w:b/>
                <w:i/>
              </w:rPr>
              <w:t xml:space="preserve">vagy regionális </w:t>
            </w:r>
            <w:r>
              <w:t>szinten, amatőr sportolók által szervezett formában gyakorolt sporttevékenység és tömegsport;</w:t>
            </w:r>
          </w:p>
        </w:tc>
      </w:tr>
    </w:tbl>
    <w:p w14:paraId="7A40E2C3"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3C456598"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6483C7E" w14:textId="77777777" w:rsidR="003B2BB4" w:rsidRPr="00D36D33" w:rsidRDefault="003B2BB4" w:rsidP="00555781">
            <w:pPr>
              <w:contextualSpacing/>
              <w:jc w:val="center"/>
            </w:pPr>
            <w:r>
              <w:rPr>
                <w:b/>
                <w:i/>
              </w:rPr>
              <w:t>Indokolás</w:t>
            </w:r>
          </w:p>
        </w:tc>
      </w:tr>
      <w:tr w:rsidR="003B2BB4" w:rsidRPr="00D36D33" w14:paraId="2BCE25C9"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4D575E6C" w14:textId="05EACB79" w:rsidR="003B2BB4" w:rsidRPr="00D36D33" w:rsidRDefault="003B2BB4" w:rsidP="00555781">
            <w:pPr>
              <w:contextualSpacing/>
            </w:pPr>
            <w:r>
              <w:t>Magától értetődik.</w:t>
            </w:r>
          </w:p>
        </w:tc>
      </w:tr>
    </w:tbl>
    <w:p w14:paraId="078A3F5A" w14:textId="77777777" w:rsidR="003B2BB4" w:rsidRPr="00D36D33" w:rsidRDefault="003B2BB4" w:rsidP="00555781">
      <w:pPr>
        <w:ind w:left="360"/>
        <w:rPr>
          <w:lang w:val="de-DE"/>
        </w:rPr>
      </w:pPr>
    </w:p>
    <w:p w14:paraId="5DAD25D4" w14:textId="77777777" w:rsidR="003B2BB4" w:rsidRPr="00D36D33" w:rsidRDefault="003B2BB4" w:rsidP="00555781">
      <w:pPr>
        <w:keepNext/>
        <w:ind w:left="357"/>
        <w:jc w:val="center"/>
        <w:rPr>
          <w:b/>
        </w:rPr>
      </w:pPr>
      <w:r>
        <w:rPr>
          <w:b/>
        </w:rPr>
        <w:t>19. módosítás</w:t>
      </w:r>
    </w:p>
    <w:p w14:paraId="56911074" w14:textId="77777777" w:rsidR="003B2BB4" w:rsidRPr="00D36D33" w:rsidRDefault="003B2BB4" w:rsidP="00555781">
      <w:pPr>
        <w:keepNext/>
        <w:ind w:left="357"/>
        <w:jc w:val="center"/>
      </w:pPr>
      <w:r>
        <w:rPr>
          <w:b/>
        </w:rPr>
        <w:t>I. fejezet – 2. cikk – 14. pont (Fogalommeghatározások)</w:t>
      </w:r>
    </w:p>
    <w:p w14:paraId="16311533" w14:textId="77777777" w:rsidR="003B2BB4" w:rsidRPr="00D36D33" w:rsidRDefault="003B2BB4" w:rsidP="00555781">
      <w:pPr>
        <w:keepNext/>
        <w:ind w:left="357"/>
        <w:jc w:val="center"/>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500A1871"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406FDF2"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B492480" w14:textId="77777777" w:rsidR="003B2BB4" w:rsidRPr="00D36D33" w:rsidRDefault="003B2BB4" w:rsidP="00555781">
            <w:pPr>
              <w:contextualSpacing/>
              <w:jc w:val="center"/>
            </w:pPr>
            <w:r>
              <w:rPr>
                <w:b/>
                <w:i/>
              </w:rPr>
              <w:t xml:space="preserve">Az RB módosítása </w:t>
            </w:r>
          </w:p>
        </w:tc>
      </w:tr>
      <w:tr w:rsidR="003B2BB4" w:rsidRPr="00D36D33" w14:paraId="08E47E6B"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64C85DF" w14:textId="1B8C8F1E" w:rsidR="003B2BB4" w:rsidRPr="00D36D33" w:rsidRDefault="003B2BB4" w:rsidP="00555781">
            <w:pPr>
              <w:ind w:right="59"/>
              <w:contextualSpacing/>
            </w:pPr>
            <w:r>
              <w:t xml:space="preserve">„partnerség”: intézmények és/vagy szervezetek csoportján belüli megállapodás közös </w:t>
            </w:r>
            <w:r>
              <w:rPr>
                <w:b/>
                <w:i/>
              </w:rPr>
              <w:t>tevékenységek</w:t>
            </w:r>
            <w:r>
              <w:t xml:space="preserve"> és </w:t>
            </w:r>
            <w:r>
              <w:rPr>
                <w:b/>
                <w:i/>
              </w:rPr>
              <w:t>projektek</w:t>
            </w:r>
            <w:r>
              <w:t xml:space="preserve"> végrehajtása céljából;</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0FB0B38A" w14:textId="7A5B212D" w:rsidR="003B2BB4" w:rsidRPr="00D36D33" w:rsidRDefault="003B2BB4" w:rsidP="00555781">
            <w:pPr>
              <w:ind w:right="145"/>
              <w:contextualSpacing/>
            </w:pPr>
            <w:r>
              <w:t xml:space="preserve">„partnerség”: intézmények és/vagy szervezetek csoportján belüli megállapodás </w:t>
            </w:r>
            <w:r>
              <w:rPr>
                <w:b/>
                <w:i/>
              </w:rPr>
              <w:t xml:space="preserve">a </w:t>
            </w:r>
            <w:r>
              <w:t xml:space="preserve">közös </w:t>
            </w:r>
            <w:r>
              <w:rPr>
                <w:b/>
                <w:i/>
              </w:rPr>
              <w:t>tevékenységeknek</w:t>
            </w:r>
            <w:r>
              <w:t xml:space="preserve"> és </w:t>
            </w:r>
            <w:r>
              <w:rPr>
                <w:b/>
                <w:i/>
              </w:rPr>
              <w:t>projekteknek a program keretében történő</w:t>
            </w:r>
            <w:r>
              <w:t xml:space="preserve"> végrehajtása céljából;</w:t>
            </w:r>
          </w:p>
        </w:tc>
      </w:tr>
    </w:tbl>
    <w:p w14:paraId="40D274B6"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3CB051A7"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64D4398A" w14:textId="77777777" w:rsidR="003B2BB4" w:rsidRPr="00D36D33" w:rsidRDefault="003B2BB4" w:rsidP="00555781">
            <w:pPr>
              <w:contextualSpacing/>
              <w:jc w:val="center"/>
            </w:pPr>
            <w:r>
              <w:rPr>
                <w:b/>
                <w:i/>
              </w:rPr>
              <w:t>Indokolás</w:t>
            </w:r>
          </w:p>
        </w:tc>
      </w:tr>
      <w:tr w:rsidR="003B2BB4" w:rsidRPr="00D36D33" w14:paraId="57E96B33"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3394A6F" w14:textId="77777777" w:rsidR="003B2BB4" w:rsidRPr="00D36D33" w:rsidRDefault="003B2BB4" w:rsidP="00555781">
            <w:pPr>
              <w:contextualSpacing/>
            </w:pPr>
            <w:r>
              <w:t>Biztosítani kell, hogy a rendelet alapján ne minden együttműködési formát nyilvánítsanak „partnerségnek”.</w:t>
            </w:r>
          </w:p>
        </w:tc>
      </w:tr>
    </w:tbl>
    <w:p w14:paraId="30C26C6E" w14:textId="3F29B6CD" w:rsidR="00786BDA" w:rsidRDefault="00786BDA" w:rsidP="00555781">
      <w:pPr>
        <w:ind w:left="360"/>
        <w:rPr>
          <w:lang w:val="de-DE"/>
        </w:rPr>
      </w:pPr>
      <w:r>
        <w:rPr>
          <w:lang w:val="de-DE"/>
        </w:rPr>
        <w:br w:type="page"/>
      </w:r>
    </w:p>
    <w:p w14:paraId="2DC676D4" w14:textId="77777777" w:rsidR="003B2BB4" w:rsidRPr="00D36D33" w:rsidRDefault="003B2BB4" w:rsidP="00555781">
      <w:pPr>
        <w:ind w:left="360"/>
        <w:jc w:val="center"/>
      </w:pPr>
      <w:r>
        <w:rPr>
          <w:b/>
        </w:rPr>
        <w:lastRenderedPageBreak/>
        <w:t>20. módosítás</w:t>
      </w:r>
    </w:p>
    <w:p w14:paraId="31C965B4" w14:textId="77777777" w:rsidR="003B2BB4" w:rsidRPr="00D36D33" w:rsidRDefault="003B2BB4" w:rsidP="00555781">
      <w:pPr>
        <w:ind w:left="360"/>
        <w:jc w:val="center"/>
      </w:pPr>
      <w:r>
        <w:rPr>
          <w:b/>
        </w:rPr>
        <w:t>I. fejezet – 2. cikk – 25. pont (Fogalommeghatározások)</w:t>
      </w:r>
    </w:p>
    <w:p w14:paraId="164F7732"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67CB6578"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19C739D"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6A0BF538" w14:textId="77777777" w:rsidR="003B2BB4" w:rsidRPr="00D36D33" w:rsidRDefault="003B2BB4" w:rsidP="00555781">
            <w:pPr>
              <w:contextualSpacing/>
              <w:jc w:val="center"/>
            </w:pPr>
            <w:r>
              <w:rPr>
                <w:b/>
                <w:i/>
              </w:rPr>
              <w:t xml:space="preserve">Az RB módosítása </w:t>
            </w:r>
          </w:p>
        </w:tc>
      </w:tr>
      <w:tr w:rsidR="003B2BB4" w:rsidRPr="00D36D33" w14:paraId="13D77847"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BA89067" w14:textId="55359B5F" w:rsidR="003B2BB4" w:rsidRPr="00D36D33" w:rsidRDefault="003B2BB4" w:rsidP="00555781">
            <w:pPr>
              <w:ind w:right="59"/>
              <w:contextualSpacing/>
            </w:pPr>
            <w:r>
              <w:t>„kevesebb lehetőséggel rendelkező emberek”: olyan személyek, akiket gazdasági, társadalmi, kulturális, földrajzi vagy egészségügyi okokból, migráns hátterük vagy például fogyatékosság vagy tanulási nehézségek miatt akadályok gátolnak abban, hogy ténylegesen hozzáférjenek a program által kínált lehetőségekhez;</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CB8AD27" w14:textId="04966B20" w:rsidR="003B2BB4" w:rsidRPr="00D36D33" w:rsidRDefault="003B2BB4" w:rsidP="00555781">
            <w:pPr>
              <w:ind w:right="59"/>
              <w:contextualSpacing/>
            </w:pPr>
            <w:r>
              <w:t xml:space="preserve">„kevesebb lehetőséggel rendelkező emberek”: olyan személyek, akiket gazdasági, társadalmi, kulturális, földrajzi vagy egészségügyi okokból, migráns hátterük vagy például fogyatékosság vagy tanulási nehézségek miatt akadályok gátolnak abban, hogy ténylegesen hozzáférjenek a program által kínált lehetőségekhez; </w:t>
            </w:r>
            <w:r>
              <w:rPr>
                <w:b/>
                <w:i/>
              </w:rPr>
              <w:t>az akadálymentesség megteremtése a program kiemelt célja, amelynek elsőbbséget kell élveznie a mennyiségi vagy pénzügyi szempontok előtt.</w:t>
            </w:r>
          </w:p>
        </w:tc>
      </w:tr>
    </w:tbl>
    <w:p w14:paraId="4C2DFDBB"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101C2FF3"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B6BC2C8" w14:textId="77777777" w:rsidR="003B2BB4" w:rsidRPr="00D36D33" w:rsidRDefault="003B2BB4" w:rsidP="00555781">
            <w:pPr>
              <w:contextualSpacing/>
              <w:jc w:val="center"/>
            </w:pPr>
            <w:r>
              <w:rPr>
                <w:b/>
                <w:i/>
              </w:rPr>
              <w:t>Indokolás</w:t>
            </w:r>
          </w:p>
        </w:tc>
      </w:tr>
      <w:tr w:rsidR="003B2BB4" w:rsidRPr="00D36D33" w14:paraId="4F7BC73F"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4684715" w14:textId="19985569" w:rsidR="003B2BB4" w:rsidRPr="00D36D33" w:rsidRDefault="003B2BB4" w:rsidP="00555781">
            <w:pPr>
              <w:contextualSpacing/>
            </w:pPr>
            <w:r>
              <w:t>Magától értetődik.</w:t>
            </w:r>
          </w:p>
        </w:tc>
      </w:tr>
    </w:tbl>
    <w:p w14:paraId="5A9794D3" w14:textId="77777777" w:rsidR="003B2BB4" w:rsidRPr="00D36D33" w:rsidRDefault="003B2BB4" w:rsidP="00555781">
      <w:pPr>
        <w:ind w:left="360"/>
        <w:jc w:val="center"/>
        <w:rPr>
          <w:lang w:val="de-DE"/>
        </w:rPr>
      </w:pPr>
    </w:p>
    <w:p w14:paraId="043553CC" w14:textId="77777777" w:rsidR="003B2BB4" w:rsidRPr="00D36D33" w:rsidRDefault="003B2BB4" w:rsidP="00555781">
      <w:pPr>
        <w:ind w:left="360"/>
        <w:jc w:val="center"/>
      </w:pPr>
      <w:r>
        <w:rPr>
          <w:b/>
        </w:rPr>
        <w:t>21. módosítás</w:t>
      </w:r>
    </w:p>
    <w:p w14:paraId="0CDC773A" w14:textId="77777777" w:rsidR="003B2BB4" w:rsidRPr="00D36D33" w:rsidRDefault="003B2BB4" w:rsidP="00555781">
      <w:pPr>
        <w:ind w:left="360"/>
        <w:jc w:val="center"/>
      </w:pPr>
      <w:r>
        <w:rPr>
          <w:b/>
        </w:rPr>
        <w:t>I. fejezet – 2. cikk – új, 28. pont (Fogalommeghatározások)</w:t>
      </w:r>
    </w:p>
    <w:p w14:paraId="00D6B5CE"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6AF0D105"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809491F"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27470753" w14:textId="77777777" w:rsidR="003B2BB4" w:rsidRPr="00D36D33" w:rsidRDefault="003B2BB4" w:rsidP="00555781">
            <w:pPr>
              <w:contextualSpacing/>
              <w:jc w:val="center"/>
            </w:pPr>
            <w:r>
              <w:rPr>
                <w:b/>
                <w:i/>
              </w:rPr>
              <w:t xml:space="preserve">Az RB módosítása </w:t>
            </w:r>
          </w:p>
        </w:tc>
      </w:tr>
      <w:tr w:rsidR="003B2BB4" w:rsidRPr="00D36D33" w14:paraId="525E3766"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38F8CCD" w14:textId="77777777" w:rsidR="003B2BB4" w:rsidRPr="00D36D33" w:rsidRDefault="003B2BB4" w:rsidP="00555781">
            <w:pPr>
              <w:contextualSpacing/>
              <w:rPr>
                <w:lang w:val="de-DE"/>
              </w:rPr>
            </w:pPr>
          </w:p>
          <w:p w14:paraId="2519622D" w14:textId="77777777" w:rsidR="003B2BB4" w:rsidRPr="00D36D33" w:rsidRDefault="003B2BB4" w:rsidP="00555781">
            <w:pPr>
              <w:contextualSpacing/>
              <w:rPr>
                <w:lang w:val="de-DE"/>
              </w:rPr>
            </w:pP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9D819AF" w14:textId="04116C1F" w:rsidR="003B2BB4" w:rsidRPr="00D36D33" w:rsidRDefault="003B2BB4" w:rsidP="00555781">
            <w:pPr>
              <w:ind w:right="59"/>
              <w:contextualSpacing/>
            </w:pPr>
            <w:r>
              <w:rPr>
                <w:b/>
                <w:i/>
              </w:rPr>
              <w:t>„idegen nyelv”: minden más olyan nyelv, amely nem a tanuló első nyelve;</w:t>
            </w:r>
          </w:p>
        </w:tc>
      </w:tr>
    </w:tbl>
    <w:p w14:paraId="03802252"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5C937E39"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65B1443B" w14:textId="77777777" w:rsidR="003B2BB4" w:rsidRPr="00D36D33" w:rsidRDefault="003B2BB4" w:rsidP="00555781">
            <w:pPr>
              <w:contextualSpacing/>
              <w:jc w:val="center"/>
            </w:pPr>
            <w:r>
              <w:rPr>
                <w:b/>
                <w:i/>
              </w:rPr>
              <w:t>Indokolás</w:t>
            </w:r>
          </w:p>
        </w:tc>
      </w:tr>
      <w:tr w:rsidR="003B2BB4" w:rsidRPr="00D36D33" w14:paraId="36257C6D" w14:textId="77777777" w:rsidTr="00761F73">
        <w:trPr>
          <w:trHeight w:val="527"/>
        </w:trPr>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15E350A" w14:textId="77777777" w:rsidR="003B2BB4" w:rsidRPr="00D36D33" w:rsidRDefault="003B2BB4" w:rsidP="00555781">
            <w:pPr>
              <w:ind w:right="59"/>
              <w:contextualSpacing/>
            </w:pPr>
            <w:r>
              <w:t>Az új nyelveknek az e program által támogatott elsajátítása nem szorítkozhat az EU hivatalos nyelveire.</w:t>
            </w:r>
          </w:p>
        </w:tc>
      </w:tr>
    </w:tbl>
    <w:p w14:paraId="5723397D" w14:textId="77777777" w:rsidR="003B2BB4" w:rsidRPr="00D36D33" w:rsidRDefault="003B2BB4" w:rsidP="00555781">
      <w:pPr>
        <w:ind w:left="360"/>
        <w:rPr>
          <w:lang w:val="de-DE"/>
        </w:rPr>
      </w:pPr>
    </w:p>
    <w:p w14:paraId="18C926A8" w14:textId="77777777" w:rsidR="003B2BB4" w:rsidRPr="00D36D33" w:rsidRDefault="003B2BB4" w:rsidP="00555781">
      <w:pPr>
        <w:keepNext/>
        <w:ind w:left="357"/>
        <w:jc w:val="center"/>
      </w:pPr>
      <w:r>
        <w:rPr>
          <w:b/>
        </w:rPr>
        <w:t>22. módosítás</w:t>
      </w:r>
    </w:p>
    <w:p w14:paraId="77DCBF96" w14:textId="77777777" w:rsidR="003B2BB4" w:rsidRPr="00D36D33" w:rsidRDefault="003B2BB4" w:rsidP="00555781">
      <w:pPr>
        <w:keepNext/>
        <w:ind w:left="357"/>
        <w:jc w:val="center"/>
      </w:pPr>
      <w:r>
        <w:rPr>
          <w:b/>
        </w:rPr>
        <w:t>I. fejezet – 2. cikk – új, 29 pont (Fogalommeghatározások)</w:t>
      </w:r>
    </w:p>
    <w:p w14:paraId="6AAEE569"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6E34E4F6"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2A3DA04"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2EFA25E" w14:textId="77777777" w:rsidR="003B2BB4" w:rsidRPr="00D36D33" w:rsidRDefault="003B2BB4" w:rsidP="00555781">
            <w:pPr>
              <w:contextualSpacing/>
              <w:jc w:val="center"/>
            </w:pPr>
            <w:r>
              <w:rPr>
                <w:b/>
                <w:i/>
              </w:rPr>
              <w:t xml:space="preserve">Az RB módosítása </w:t>
            </w:r>
          </w:p>
        </w:tc>
      </w:tr>
      <w:tr w:rsidR="003B2BB4" w:rsidRPr="00D36D33" w14:paraId="1096780E"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E409219" w14:textId="77777777" w:rsidR="003B2BB4" w:rsidRPr="00D36D33" w:rsidRDefault="003B2BB4" w:rsidP="00555781">
            <w:pPr>
              <w:contextualSpacing/>
              <w:rPr>
                <w:lang w:val="de-DE"/>
              </w:rPr>
            </w:pPr>
          </w:p>
          <w:p w14:paraId="0E31B61B" w14:textId="77777777" w:rsidR="003B2BB4" w:rsidRPr="00D36D33" w:rsidRDefault="003B2BB4" w:rsidP="00555781">
            <w:pPr>
              <w:contextualSpacing/>
              <w:rPr>
                <w:lang w:val="de-DE"/>
              </w:rPr>
            </w:pP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423E860" w14:textId="77777777" w:rsidR="003B2BB4" w:rsidRPr="00D36D33" w:rsidRDefault="003B2BB4" w:rsidP="00555781">
            <w:pPr>
              <w:ind w:right="59"/>
              <w:contextualSpacing/>
            </w:pPr>
            <w:r>
              <w:rPr>
                <w:b/>
                <w:i/>
              </w:rPr>
              <w:t>„fogyatékossággal élő személyek”: olyan személyek, akik tartós fizikai, értelmi, szellemi vagy érzékszervi károsodással élnek, amely számos egyéb akadállyal együtt korlátozhatja teljes, hatékony és másokkal egyenlő társadalmi szerepvállalásukat;</w:t>
            </w:r>
          </w:p>
        </w:tc>
      </w:tr>
    </w:tbl>
    <w:p w14:paraId="77886801"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0A40D8E9"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70AF409" w14:textId="77777777" w:rsidR="003B2BB4" w:rsidRPr="00D36D33" w:rsidRDefault="003B2BB4" w:rsidP="00555781">
            <w:pPr>
              <w:contextualSpacing/>
              <w:jc w:val="center"/>
            </w:pPr>
            <w:r>
              <w:rPr>
                <w:b/>
                <w:i/>
              </w:rPr>
              <w:t>Indokolás</w:t>
            </w:r>
          </w:p>
        </w:tc>
      </w:tr>
      <w:tr w:rsidR="003B2BB4" w:rsidRPr="00D36D33" w14:paraId="220B0B3C"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4CE1BBD" w14:textId="2B6DA5F9" w:rsidR="003B2BB4" w:rsidRPr="00D36D33" w:rsidRDefault="003B2BB4" w:rsidP="00555781">
            <w:pPr>
              <w:contextualSpacing/>
            </w:pPr>
            <w:r>
              <w:t>A fogalommeghatározás a fogyatékossággal élő személyek jogairól szóló ENSZ-egyezmény 1. cikke 2. mondatának felel meg.</w:t>
            </w:r>
          </w:p>
        </w:tc>
      </w:tr>
    </w:tbl>
    <w:p w14:paraId="46674149" w14:textId="77777777" w:rsidR="003B2BB4" w:rsidRPr="00D36D33" w:rsidRDefault="003B2BB4" w:rsidP="00555781">
      <w:pPr>
        <w:ind w:left="360"/>
        <w:jc w:val="center"/>
        <w:rPr>
          <w:rFonts w:eastAsia="Calibri"/>
          <w:b/>
          <w:lang w:val="de-DE"/>
        </w:rPr>
      </w:pPr>
    </w:p>
    <w:p w14:paraId="02405993" w14:textId="77777777" w:rsidR="003B2BB4" w:rsidRPr="00D36D33" w:rsidRDefault="003B2BB4" w:rsidP="00555781">
      <w:pPr>
        <w:ind w:left="360"/>
        <w:jc w:val="center"/>
      </w:pPr>
      <w:r>
        <w:rPr>
          <w:b/>
        </w:rPr>
        <w:lastRenderedPageBreak/>
        <w:t>23. módosítás</w:t>
      </w:r>
    </w:p>
    <w:p w14:paraId="79B91DE3" w14:textId="77777777" w:rsidR="003B2BB4" w:rsidRPr="00D36D33" w:rsidRDefault="003B2BB4" w:rsidP="00555781">
      <w:pPr>
        <w:ind w:left="360"/>
        <w:jc w:val="center"/>
      </w:pPr>
      <w:r>
        <w:rPr>
          <w:b/>
        </w:rPr>
        <w:t>II fejezet – 4. cikk – 1. fő intézkedés – Tanulási célú mobilitás</w:t>
      </w:r>
    </w:p>
    <w:p w14:paraId="4DBC843A"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105C1AD4"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4299217"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9D66135" w14:textId="77777777" w:rsidR="003B2BB4" w:rsidRPr="00D36D33" w:rsidRDefault="003B2BB4" w:rsidP="00555781">
            <w:pPr>
              <w:contextualSpacing/>
              <w:jc w:val="center"/>
            </w:pPr>
            <w:r>
              <w:rPr>
                <w:b/>
                <w:i/>
              </w:rPr>
              <w:t xml:space="preserve">Az RB módosítása </w:t>
            </w:r>
          </w:p>
        </w:tc>
      </w:tr>
      <w:tr w:rsidR="003B2BB4" w:rsidRPr="00D36D33" w14:paraId="2FE38DBA"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87DF20F" w14:textId="429F9DFA" w:rsidR="003B2BB4" w:rsidRPr="00D36D33" w:rsidRDefault="003B2BB4" w:rsidP="00555781">
            <w:pPr>
              <w:ind w:right="59"/>
              <w:contextualSpacing/>
            </w:pPr>
            <w:r>
              <w:t xml:space="preserve">A program </w:t>
            </w:r>
            <w:r>
              <w:rPr>
                <w:b/>
                <w:i/>
              </w:rPr>
              <w:t>az oktatás és képzés</w:t>
            </w:r>
            <w:r>
              <w:t xml:space="preserve"> terén az 1. fő intézkedés keretében a következő tevékenységeket támogatja:</w:t>
            </w:r>
          </w:p>
          <w:p w14:paraId="52BC0862" w14:textId="77777777" w:rsidR="003B2BB4" w:rsidRPr="00D36D33" w:rsidRDefault="003B2BB4" w:rsidP="00555781">
            <w:pPr>
              <w:contextualSpacing/>
              <w:rPr>
                <w:lang w:val="de-DE"/>
              </w:rPr>
            </w:pPr>
          </w:p>
          <w:p w14:paraId="129A76C3" w14:textId="766EBE5D" w:rsidR="003B2BB4" w:rsidRPr="00D36D33" w:rsidRDefault="003B2BB4" w:rsidP="00555781">
            <w:pPr>
              <w:ind w:right="59"/>
              <w:contextualSpacing/>
            </w:pPr>
            <w:r>
              <w:t>a) a felsőoktatási hallgatók és személyzet mobilitása;</w:t>
            </w:r>
          </w:p>
          <w:p w14:paraId="4ACAE48A" w14:textId="5C3DC171" w:rsidR="003B2BB4" w:rsidRPr="00D36D33" w:rsidRDefault="003B2BB4" w:rsidP="00555781">
            <w:pPr>
              <w:ind w:right="59"/>
              <w:contextualSpacing/>
            </w:pPr>
            <w:r>
              <w:t>b) a szakképzésben részt vevő tanulók és a szakképzésben dolgozó személyzet mobilitása;</w:t>
            </w:r>
          </w:p>
          <w:p w14:paraId="121EF935" w14:textId="28850A97" w:rsidR="003B2BB4" w:rsidRPr="00D36D33" w:rsidRDefault="003B2BB4" w:rsidP="00555781">
            <w:pPr>
              <w:ind w:right="59"/>
              <w:contextualSpacing/>
            </w:pPr>
            <w:r>
              <w:t>c) az iskolai tanulók és az iskolai személyzet mobilitása;</w:t>
            </w:r>
          </w:p>
          <w:p w14:paraId="494B1E26" w14:textId="120B93FD" w:rsidR="003B2BB4" w:rsidRPr="00D36D33" w:rsidRDefault="003B2BB4" w:rsidP="00555781">
            <w:pPr>
              <w:ind w:right="59"/>
              <w:contextualSpacing/>
            </w:pPr>
            <w:r>
              <w:t>d) a felnőttoktatási személyzet mobilitása;</w:t>
            </w:r>
          </w:p>
          <w:p w14:paraId="61D084F9" w14:textId="552062FC" w:rsidR="003B2BB4" w:rsidRPr="00D36D33" w:rsidRDefault="003B2BB4" w:rsidP="00555781">
            <w:pPr>
              <w:ind w:right="59"/>
              <w:contextualSpacing/>
            </w:pPr>
            <w:r>
              <w:t xml:space="preserve">e) nyelvtanulási lehetőségek, beleértve a mobilitási tevékenységek támogatására szolgálókat. </w:t>
            </w:r>
          </w:p>
          <w:p w14:paraId="0673869C" w14:textId="77777777" w:rsidR="003B2BB4" w:rsidRPr="00D36D33" w:rsidRDefault="003B2BB4" w:rsidP="00555781">
            <w:pPr>
              <w:contextualSpacing/>
              <w:rPr>
                <w:lang w:val="de-DE"/>
              </w:rPr>
            </w:pP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8FFC49F" w14:textId="260EAFE3" w:rsidR="003B2BB4" w:rsidRPr="00D36D33" w:rsidRDefault="003B2BB4" w:rsidP="00555781">
            <w:pPr>
              <w:ind w:right="59"/>
              <w:contextualSpacing/>
            </w:pPr>
            <w:r>
              <w:t xml:space="preserve">A program </w:t>
            </w:r>
            <w:r>
              <w:rPr>
                <w:b/>
                <w:i/>
              </w:rPr>
              <w:t>a szakképzés és általános képzés</w:t>
            </w:r>
            <w:r>
              <w:t xml:space="preserve"> terén az 1. fő intézkedés keretében a következő tevékenységeket támogatja</w:t>
            </w:r>
            <w:r>
              <w:rPr>
                <w:b/>
                <w:i/>
              </w:rPr>
              <w:t>, amelyek virtuális csereprogramokkal összekapcsolva is végrehajthatók</w:t>
            </w:r>
            <w:r>
              <w:t>:</w:t>
            </w:r>
          </w:p>
          <w:p w14:paraId="2726D936" w14:textId="77777777" w:rsidR="003B2BB4" w:rsidRPr="00D36D33" w:rsidRDefault="003B2BB4" w:rsidP="00555781">
            <w:pPr>
              <w:contextualSpacing/>
              <w:rPr>
                <w:lang w:val="de-DE"/>
              </w:rPr>
            </w:pPr>
          </w:p>
          <w:p w14:paraId="1867B11B" w14:textId="04600835" w:rsidR="003B2BB4" w:rsidRPr="00D36D33" w:rsidRDefault="003B2BB4" w:rsidP="00555781">
            <w:pPr>
              <w:ind w:right="59"/>
              <w:contextualSpacing/>
            </w:pPr>
            <w:r>
              <w:t xml:space="preserve">a) a felsőoktatási hallgatók és személyzet </w:t>
            </w:r>
            <w:r>
              <w:rPr>
                <w:b/>
                <w:i/>
              </w:rPr>
              <w:t xml:space="preserve">rövid, közép- és hosszú távú </w:t>
            </w:r>
            <w:r>
              <w:t>mobilitása;</w:t>
            </w:r>
          </w:p>
          <w:p w14:paraId="5D020D08" w14:textId="32CD47F5" w:rsidR="003B2BB4" w:rsidRPr="00D36D33" w:rsidRDefault="003B2BB4" w:rsidP="00555781">
            <w:pPr>
              <w:ind w:right="145"/>
              <w:contextualSpacing/>
              <w:rPr>
                <w:rFonts w:eastAsia="Calibri"/>
                <w:b/>
                <w:i/>
              </w:rPr>
            </w:pPr>
            <w:r>
              <w:t xml:space="preserve">b) a szakképzésben részt vevő tanulók és a szakképzésben dolgozó személyzet </w:t>
            </w:r>
            <w:r>
              <w:rPr>
                <w:b/>
                <w:i/>
              </w:rPr>
              <w:t xml:space="preserve">rövid, közép- és hosszú távú </w:t>
            </w:r>
            <w:r>
              <w:t>mobilitása</w:t>
            </w:r>
            <w:r>
              <w:rPr>
                <w:b/>
                <w:i/>
              </w:rPr>
              <w:t>, különös tekintettel a kkv-knál tevékenykedő tanulókra, munkatársakra és oktatókra. A célcsoportnak megfelelő tanfolyamokat kell kidolgozni, amelyek felkészítik a tanulókat a nyelvi és interkulturális kihívásokra, és amelyeket évente több időpontban is kérelmezni lehet;</w:t>
            </w:r>
          </w:p>
          <w:p w14:paraId="45B93A19" w14:textId="12F40120" w:rsidR="003B2BB4" w:rsidRPr="00D36D33" w:rsidRDefault="003B2BB4" w:rsidP="00555781">
            <w:pPr>
              <w:ind w:right="145"/>
              <w:contextualSpacing/>
            </w:pPr>
            <w:r>
              <w:t xml:space="preserve">c) az iskolai tanulók és az iskolai személyzet </w:t>
            </w:r>
            <w:r>
              <w:rPr>
                <w:b/>
                <w:i/>
              </w:rPr>
              <w:t xml:space="preserve">rövid, közép- és hosszú távú </w:t>
            </w:r>
            <w:r>
              <w:t>mobilitása</w:t>
            </w:r>
            <w:r>
              <w:rPr>
                <w:b/>
                <w:i/>
              </w:rPr>
              <w:t>, többek között szakmai gyakorlatok az általános képzésben</w:t>
            </w:r>
            <w:r>
              <w:t>;</w:t>
            </w:r>
          </w:p>
          <w:p w14:paraId="6DF6A30D" w14:textId="545DDD59" w:rsidR="003B2BB4" w:rsidRPr="00D36D33" w:rsidRDefault="003B2BB4" w:rsidP="00555781">
            <w:pPr>
              <w:ind w:right="145"/>
              <w:contextualSpacing/>
            </w:pPr>
            <w:r>
              <w:t xml:space="preserve">d) a felnőttoktatási személyzet </w:t>
            </w:r>
            <w:r>
              <w:rPr>
                <w:b/>
                <w:i/>
              </w:rPr>
              <w:t xml:space="preserve">rövid, közép- és hosszú távú </w:t>
            </w:r>
            <w:r>
              <w:t>mobilitása;</w:t>
            </w:r>
          </w:p>
          <w:p w14:paraId="29DA1EFD" w14:textId="1A2F1C27" w:rsidR="003B2BB4" w:rsidRPr="00D36D33" w:rsidRDefault="003B2BB4" w:rsidP="00555781">
            <w:pPr>
              <w:ind w:right="145"/>
              <w:contextualSpacing/>
            </w:pPr>
            <w:r>
              <w:t>e) nyelvtanulási lehetőségek, beleértve a mobilitási tevékenységek támogatására szolgálókat</w:t>
            </w:r>
            <w:r>
              <w:rPr>
                <w:b/>
                <w:i/>
              </w:rPr>
              <w:t>, amelyeket a különböző célcsoportok sajátos igényei szerint kell kialakítani</w:t>
            </w:r>
            <w:r>
              <w:t>.</w:t>
            </w:r>
          </w:p>
        </w:tc>
      </w:tr>
    </w:tbl>
    <w:p w14:paraId="47C0ECCA"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3A006084"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F48E184" w14:textId="77777777" w:rsidR="003B2BB4" w:rsidRPr="00D36D33" w:rsidRDefault="003B2BB4" w:rsidP="00555781">
            <w:pPr>
              <w:contextualSpacing/>
              <w:jc w:val="center"/>
            </w:pPr>
            <w:r>
              <w:rPr>
                <w:b/>
                <w:i/>
              </w:rPr>
              <w:t>Indokolás</w:t>
            </w:r>
          </w:p>
        </w:tc>
      </w:tr>
      <w:tr w:rsidR="003B2BB4" w:rsidRPr="00D36D33" w14:paraId="3369E23B"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EE35CBF" w14:textId="35DBD9EE" w:rsidR="003B2BB4" w:rsidRPr="00D36D33" w:rsidRDefault="003B2BB4" w:rsidP="00555781">
            <w:pPr>
              <w:contextualSpacing/>
            </w:pPr>
            <w:r>
              <w:t>A tanulói mobilitást különösen e személykör számára és ezen az oktatási területen kell elérhetővé tenni, és a jó minőségű kínálat érdekében a megfelelő előkészítést is meg kell engedni.</w:t>
            </w:r>
          </w:p>
        </w:tc>
      </w:tr>
    </w:tbl>
    <w:p w14:paraId="0018B8EB" w14:textId="77777777" w:rsidR="003B2BB4" w:rsidRPr="00D36D33" w:rsidRDefault="003B2BB4" w:rsidP="00555781">
      <w:pPr>
        <w:ind w:left="360"/>
        <w:rPr>
          <w:lang w:val="de-DE"/>
        </w:rPr>
      </w:pPr>
    </w:p>
    <w:p w14:paraId="35357DA0" w14:textId="77777777" w:rsidR="003B2BB4" w:rsidRPr="00D36D33" w:rsidRDefault="003B2BB4" w:rsidP="00555781">
      <w:pPr>
        <w:ind w:left="360"/>
        <w:jc w:val="center"/>
        <w:rPr>
          <w:b/>
        </w:rPr>
      </w:pPr>
      <w:r>
        <w:rPr>
          <w:b/>
        </w:rPr>
        <w:t>24. módosítás</w:t>
      </w:r>
    </w:p>
    <w:p w14:paraId="60212FED" w14:textId="77777777" w:rsidR="003B2BB4" w:rsidRPr="00D36D33" w:rsidRDefault="003B2BB4" w:rsidP="00555781">
      <w:pPr>
        <w:ind w:left="360"/>
        <w:jc w:val="center"/>
        <w:rPr>
          <w:b/>
        </w:rPr>
      </w:pPr>
      <w:r>
        <w:rPr>
          <w:b/>
        </w:rPr>
        <w:t>II. fejezet – 5. cikk – 2. fő intézkedés – Szervezetek és intézmények közötti együttműködés</w:t>
      </w:r>
    </w:p>
    <w:p w14:paraId="743877E7" w14:textId="77777777" w:rsidR="003B2BB4" w:rsidRPr="00D36D33" w:rsidRDefault="003B2BB4" w:rsidP="00555781">
      <w:pPr>
        <w:ind w:left="360"/>
        <w:rPr>
          <w:b/>
          <w:lang w:val="de-DE"/>
        </w:rPr>
      </w:pPr>
    </w:p>
    <w:tbl>
      <w:tblPr>
        <w:tblW w:w="9287" w:type="dxa"/>
        <w:tblLayout w:type="fixed"/>
        <w:tblCellMar>
          <w:left w:w="10" w:type="dxa"/>
          <w:right w:w="10" w:type="dxa"/>
        </w:tblCellMar>
        <w:tblLook w:val="0000" w:firstRow="0" w:lastRow="0" w:firstColumn="0" w:lastColumn="0" w:noHBand="0" w:noVBand="0"/>
      </w:tblPr>
      <w:tblGrid>
        <w:gridCol w:w="4641"/>
        <w:gridCol w:w="4646"/>
      </w:tblGrid>
      <w:tr w:rsidR="003B2BB4" w:rsidRPr="00D36D33" w14:paraId="3C0EF304" w14:textId="77777777" w:rsidTr="00F83EAE">
        <w:tc>
          <w:tcPr>
            <w:tcW w:w="4641" w:type="dxa"/>
            <w:tcBorders>
              <w:top w:val="single" w:sz="2" w:space="0" w:color="00000A"/>
              <w:left w:val="single" w:sz="2" w:space="0" w:color="00000A"/>
              <w:bottom w:val="single" w:sz="2" w:space="0" w:color="00000A"/>
              <w:right w:val="single" w:sz="2" w:space="0" w:color="00000A"/>
            </w:tcBorders>
            <w:shd w:val="clear" w:color="auto" w:fill="FFFFFF"/>
            <w:tcMar>
              <w:left w:w="10" w:type="dxa"/>
              <w:right w:w="10" w:type="dxa"/>
            </w:tcMar>
          </w:tcPr>
          <w:p w14:paraId="355CCCD5" w14:textId="77777777" w:rsidR="003B2BB4" w:rsidRPr="00D36D33" w:rsidRDefault="003B2BB4" w:rsidP="00555781">
            <w:pPr>
              <w:contextualSpacing/>
              <w:jc w:val="center"/>
            </w:pPr>
            <w:r>
              <w:rPr>
                <w:b/>
                <w:i/>
              </w:rPr>
              <w:t>Az Európai Bizottság által javasolt szöveg</w:t>
            </w:r>
          </w:p>
        </w:tc>
        <w:tc>
          <w:tcPr>
            <w:tcW w:w="4646" w:type="dxa"/>
            <w:tcBorders>
              <w:top w:val="single" w:sz="2" w:space="0" w:color="00000A"/>
              <w:left w:val="single" w:sz="2" w:space="0" w:color="00000A"/>
              <w:bottom w:val="single" w:sz="4" w:space="0" w:color="auto"/>
              <w:right w:val="single" w:sz="2" w:space="0" w:color="00000A"/>
            </w:tcBorders>
            <w:shd w:val="clear" w:color="auto" w:fill="FFFFFF"/>
            <w:tcMar>
              <w:left w:w="10" w:type="dxa"/>
              <w:right w:w="10" w:type="dxa"/>
            </w:tcMar>
          </w:tcPr>
          <w:p w14:paraId="442AE138" w14:textId="77777777" w:rsidR="003B2BB4" w:rsidRPr="00D36D33" w:rsidRDefault="003B2BB4" w:rsidP="00555781">
            <w:pPr>
              <w:contextualSpacing/>
              <w:jc w:val="center"/>
            </w:pPr>
            <w:r>
              <w:rPr>
                <w:b/>
                <w:i/>
              </w:rPr>
              <w:t xml:space="preserve">Az RB módosítása </w:t>
            </w:r>
          </w:p>
        </w:tc>
      </w:tr>
      <w:tr w:rsidR="003B2BB4" w:rsidRPr="00D36D33" w14:paraId="3E55C89A" w14:textId="77777777" w:rsidTr="00761F73">
        <w:tc>
          <w:tcPr>
            <w:tcW w:w="4641" w:type="dxa"/>
            <w:tcBorders>
              <w:top w:val="single" w:sz="2" w:space="0" w:color="00000A"/>
              <w:left w:val="single" w:sz="2" w:space="0" w:color="00000A"/>
              <w:bottom w:val="single" w:sz="2" w:space="0" w:color="00000A"/>
              <w:right w:val="single" w:sz="2" w:space="0" w:color="00000A"/>
            </w:tcBorders>
            <w:shd w:val="clear" w:color="auto" w:fill="FFFFFF"/>
            <w:tcMar>
              <w:left w:w="108" w:type="dxa"/>
              <w:right w:w="108" w:type="dxa"/>
            </w:tcMar>
          </w:tcPr>
          <w:p w14:paraId="248DB9D8" w14:textId="687C9DAC" w:rsidR="003B2BB4" w:rsidRPr="00D36D33" w:rsidRDefault="003B2BB4" w:rsidP="00555781">
            <w:pPr>
              <w:contextualSpacing/>
            </w:pPr>
            <w:r>
              <w:t>A program az oktatás és képzés terén a 2. fő intézkedés keretében a következő tevékenységeket támogatja:</w:t>
            </w:r>
          </w:p>
          <w:p w14:paraId="6C1F61B1" w14:textId="4E4446DE" w:rsidR="003B2BB4" w:rsidRPr="00D36D33" w:rsidRDefault="003B2BB4" w:rsidP="00555781">
            <w:pPr>
              <w:contextualSpacing/>
            </w:pPr>
            <w:r>
              <w:t>a)</w:t>
            </w:r>
            <w:r>
              <w:tab/>
              <w:t xml:space="preserve">együttműködésre és a bevált gyakorlatok </w:t>
            </w:r>
            <w:r>
              <w:lastRenderedPageBreak/>
              <w:t>cseréjére irányuló partnerségek, beleértve a programhoz való szélesebb körű és inkluzívabb hozzáférés előmozdítására szolgáló kisléptékű partnerségeket is; b)</w:t>
            </w:r>
            <w:r>
              <w:tab/>
              <w:t>kiválósági partnerségek, különösen az európai egyetemek hálózata, a szakképzési kiválósági központok és közös mesterképzések;</w:t>
            </w:r>
          </w:p>
          <w:p w14:paraId="0AF3B56C" w14:textId="6B7E7E69" w:rsidR="003B2BB4" w:rsidRPr="00D36D33" w:rsidRDefault="003B2BB4" w:rsidP="00555781">
            <w:pPr>
              <w:contextualSpacing/>
            </w:pPr>
            <w:r>
              <w:t>c)</w:t>
            </w:r>
            <w:r>
              <w:tab/>
              <w:t>Európa innovációs kapacitásának erősítésére szolgáló innovációs partnerségek;</w:t>
            </w:r>
          </w:p>
          <w:p w14:paraId="428395EC" w14:textId="1281F1E5" w:rsidR="003B2BB4" w:rsidRPr="00D36D33" w:rsidRDefault="003B2BB4" w:rsidP="00555781">
            <w:pPr>
              <w:contextualSpacing/>
            </w:pPr>
            <w:r>
              <w:t>d)</w:t>
            </w:r>
            <w:r>
              <w:tab/>
              <w:t>online platformok és eszközök a virtuális együttműködéshez, beleértve az eTwinning és az európai felnőttképzés elektronikus platformja számára kifejlesztett támogatási szolgáltatásokat.</w:t>
            </w:r>
          </w:p>
        </w:tc>
        <w:tc>
          <w:tcPr>
            <w:tcW w:w="4646" w:type="dxa"/>
            <w:tcBorders>
              <w:top w:val="single" w:sz="4" w:space="0" w:color="auto"/>
              <w:left w:val="single" w:sz="2" w:space="0" w:color="00000A"/>
              <w:bottom w:val="single" w:sz="2" w:space="0" w:color="00000A"/>
              <w:right w:val="single" w:sz="2" w:space="0" w:color="00000A"/>
            </w:tcBorders>
            <w:shd w:val="clear" w:color="auto" w:fill="FFFFFF"/>
            <w:tcMar>
              <w:left w:w="108" w:type="dxa"/>
              <w:right w:w="108" w:type="dxa"/>
            </w:tcMar>
          </w:tcPr>
          <w:p w14:paraId="4D1B6696" w14:textId="7D19A91B" w:rsidR="003B2BB4" w:rsidRPr="00D36D33" w:rsidRDefault="003B2BB4" w:rsidP="00555781">
            <w:pPr>
              <w:contextualSpacing/>
            </w:pPr>
            <w:r>
              <w:lastRenderedPageBreak/>
              <w:t>A program az oktatás és képzés terén a 2. fő intézkedés keretében a következő tevékenységeket támogatja:</w:t>
            </w:r>
          </w:p>
          <w:p w14:paraId="2F3B58E4" w14:textId="2D6E7470" w:rsidR="003B2BB4" w:rsidRPr="00D36D33" w:rsidRDefault="003B2BB4" w:rsidP="00555781">
            <w:pPr>
              <w:contextualSpacing/>
            </w:pPr>
            <w:r>
              <w:t>a)</w:t>
            </w:r>
            <w:r>
              <w:tab/>
              <w:t xml:space="preserve">együttműködésre és a bevált gyakorlatok </w:t>
            </w:r>
            <w:r>
              <w:lastRenderedPageBreak/>
              <w:t xml:space="preserve">cseréjére irányuló partnerségek, beleértve a programhoz való szélesebb körű és inkluzívabb hozzáférés előmozdítására szolgáló kisléptékű partnerségeket is </w:t>
            </w:r>
            <w:r>
              <w:rPr>
                <w:b/>
                <w:i/>
              </w:rPr>
              <w:t>regionális szinten</w:t>
            </w:r>
            <w:r>
              <w:t>;</w:t>
            </w:r>
          </w:p>
          <w:p w14:paraId="12CDF8D9" w14:textId="10C56868" w:rsidR="003B2BB4" w:rsidRPr="00D36D33" w:rsidRDefault="003B2BB4" w:rsidP="00555781">
            <w:pPr>
              <w:contextualSpacing/>
            </w:pPr>
            <w:r>
              <w:t>b)</w:t>
            </w:r>
            <w:r>
              <w:tab/>
              <w:t>kiválósági partnerségek, különösen az európai egyetemek hálózata, a szakképzési kiválósági központok</w:t>
            </w:r>
            <w:r>
              <w:rPr>
                <w:b/>
                <w:i/>
              </w:rPr>
              <w:t>, amelyeket nem csak az európai metropoliszokban kell kialakítani,</w:t>
            </w:r>
            <w:r>
              <w:t xml:space="preserve"> és </w:t>
            </w:r>
            <w:r>
              <w:rPr>
                <w:b/>
                <w:i/>
              </w:rPr>
              <w:t xml:space="preserve">amelyeknek a regionális szint részvétele mellett támogatniuk kell az érdekelt feleket az alkalmazásorientált együttműködésben, valamint a </w:t>
            </w:r>
            <w:r>
              <w:t xml:space="preserve">közös mesterképzések </w:t>
            </w:r>
            <w:r>
              <w:rPr>
                <w:b/>
                <w:i/>
              </w:rPr>
              <w:t>kidolgozásában</w:t>
            </w:r>
            <w:r>
              <w:t>;</w:t>
            </w:r>
          </w:p>
          <w:p w14:paraId="02D06465" w14:textId="764CA00E" w:rsidR="003B2BB4" w:rsidRPr="00D36D33" w:rsidRDefault="003B2BB4" w:rsidP="00555781">
            <w:pPr>
              <w:contextualSpacing/>
            </w:pPr>
            <w:r>
              <w:t>c) Európa innovációs kapacitásának erősítésére szolgáló innovációs partnerségek</w:t>
            </w:r>
            <w:r>
              <w:rPr>
                <w:b/>
                <w:i/>
              </w:rPr>
              <w:t>, valamint azoknak az „európai üzemeknek és vállalkozásoknak” a kitüntetése, amelyek különösen sokat tesznek a tanulóik európai képesítéséért</w:t>
            </w:r>
            <w:r>
              <w:t>;</w:t>
            </w:r>
          </w:p>
          <w:p w14:paraId="0FA815B7" w14:textId="549F96CC" w:rsidR="003B2BB4" w:rsidRPr="00D36D33" w:rsidRDefault="003B2BB4" w:rsidP="00555781">
            <w:pPr>
              <w:contextualSpacing/>
            </w:pPr>
            <w:r>
              <w:t>d)</w:t>
            </w:r>
            <w:r>
              <w:tab/>
              <w:t>online platformok és eszközök a virtuális együttműködéshez, beleértve az eTwinning és az európai felnőttképzés elektronikus platformja számára kifejlesztett támogatási szolgáltatásokat.</w:t>
            </w:r>
          </w:p>
        </w:tc>
      </w:tr>
    </w:tbl>
    <w:p w14:paraId="7BFD927C" w14:textId="77777777" w:rsidR="003B2BB4" w:rsidRPr="00D36D33" w:rsidRDefault="003B2BB4" w:rsidP="00555781">
      <w:pPr>
        <w:ind w:left="360"/>
        <w:rPr>
          <w:lang w:val="de-DE"/>
        </w:rPr>
      </w:pPr>
    </w:p>
    <w:tbl>
      <w:tblPr>
        <w:tblW w:w="9289" w:type="dxa"/>
        <w:tblLayout w:type="fixed"/>
        <w:tblCellMar>
          <w:left w:w="10" w:type="dxa"/>
          <w:right w:w="10" w:type="dxa"/>
        </w:tblCellMar>
        <w:tblLook w:val="0000" w:firstRow="0" w:lastRow="0" w:firstColumn="0" w:lastColumn="0" w:noHBand="0" w:noVBand="0"/>
      </w:tblPr>
      <w:tblGrid>
        <w:gridCol w:w="9289"/>
      </w:tblGrid>
      <w:tr w:rsidR="003B2BB4" w:rsidRPr="00D36D33" w14:paraId="21615981" w14:textId="77777777" w:rsidTr="00F83EAE">
        <w:tc>
          <w:tcPr>
            <w:tcW w:w="9289" w:type="dxa"/>
            <w:tcBorders>
              <w:top w:val="single" w:sz="2" w:space="0" w:color="00000A"/>
              <w:left w:val="single" w:sz="2" w:space="0" w:color="00000A"/>
              <w:bottom w:val="single" w:sz="2" w:space="0" w:color="00000A"/>
              <w:right w:val="single" w:sz="2" w:space="0" w:color="00000A"/>
            </w:tcBorders>
            <w:shd w:val="clear" w:color="auto" w:fill="FFFFFF"/>
            <w:tcMar>
              <w:left w:w="10" w:type="dxa"/>
              <w:right w:w="10" w:type="dxa"/>
            </w:tcMar>
          </w:tcPr>
          <w:p w14:paraId="49E99762" w14:textId="77777777" w:rsidR="003B2BB4" w:rsidRPr="00D36D33" w:rsidRDefault="003B2BB4" w:rsidP="00555781">
            <w:pPr>
              <w:contextualSpacing/>
              <w:jc w:val="center"/>
            </w:pPr>
            <w:r>
              <w:rPr>
                <w:b/>
                <w:i/>
              </w:rPr>
              <w:t>Indokolás</w:t>
            </w:r>
          </w:p>
        </w:tc>
      </w:tr>
      <w:tr w:rsidR="003B2BB4" w:rsidRPr="00D36D33" w14:paraId="339A7290" w14:textId="77777777" w:rsidTr="00761F73">
        <w:tc>
          <w:tcPr>
            <w:tcW w:w="9289" w:type="dxa"/>
            <w:tcBorders>
              <w:top w:val="single" w:sz="2" w:space="0" w:color="00000A"/>
              <w:left w:val="single" w:sz="2" w:space="0" w:color="00000A"/>
              <w:bottom w:val="single" w:sz="2" w:space="0" w:color="00000A"/>
              <w:right w:val="single" w:sz="2" w:space="0" w:color="00000A"/>
            </w:tcBorders>
            <w:shd w:val="clear" w:color="auto" w:fill="FFFFFF"/>
            <w:tcMar>
              <w:left w:w="108" w:type="dxa"/>
              <w:right w:w="108" w:type="dxa"/>
            </w:tcMar>
          </w:tcPr>
          <w:p w14:paraId="2EB3679B" w14:textId="77777777" w:rsidR="003B2BB4" w:rsidRPr="00D36D33" w:rsidRDefault="003B2BB4" w:rsidP="00555781">
            <w:pPr>
              <w:contextualSpacing/>
            </w:pPr>
            <w:r>
              <w:t>A szakmai kiválósági központok csak úgy tudják elérni céljukat, ha a meglévő struktúrákra épülnek rá, és az érdekelt felekkel együtt és nem ellenük dolgoznak.</w:t>
            </w:r>
          </w:p>
        </w:tc>
      </w:tr>
    </w:tbl>
    <w:p w14:paraId="4729BC34" w14:textId="77777777" w:rsidR="003B2BB4" w:rsidRPr="00D36D33" w:rsidRDefault="003B2BB4" w:rsidP="00555781">
      <w:pPr>
        <w:ind w:left="360"/>
        <w:rPr>
          <w:lang w:val="de-DE"/>
        </w:rPr>
      </w:pPr>
    </w:p>
    <w:p w14:paraId="75C4C546" w14:textId="77777777" w:rsidR="003B2BB4" w:rsidRPr="00D36D33" w:rsidRDefault="003B2BB4" w:rsidP="00555781">
      <w:pPr>
        <w:ind w:left="360"/>
        <w:jc w:val="center"/>
      </w:pPr>
      <w:r>
        <w:rPr>
          <w:b/>
        </w:rPr>
        <w:t>25. módosítás</w:t>
      </w:r>
    </w:p>
    <w:p w14:paraId="18D110BC" w14:textId="77777777" w:rsidR="003B2BB4" w:rsidRPr="00D36D33" w:rsidRDefault="003B2BB4" w:rsidP="00555781">
      <w:pPr>
        <w:ind w:left="360"/>
        <w:jc w:val="center"/>
      </w:pPr>
      <w:r>
        <w:rPr>
          <w:b/>
        </w:rPr>
        <w:t>IV. fejezet – 12. cikk – 2. fő intézkedés – a) pont</w:t>
      </w:r>
    </w:p>
    <w:p w14:paraId="277BAAFB"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12084D7E"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E5B18E1"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7D64456" w14:textId="77777777" w:rsidR="003B2BB4" w:rsidRPr="00D36D33" w:rsidRDefault="003B2BB4" w:rsidP="00555781">
            <w:pPr>
              <w:contextualSpacing/>
              <w:jc w:val="center"/>
            </w:pPr>
            <w:r>
              <w:rPr>
                <w:b/>
                <w:i/>
              </w:rPr>
              <w:t xml:space="preserve">Az RB módosítása </w:t>
            </w:r>
          </w:p>
        </w:tc>
      </w:tr>
      <w:tr w:rsidR="003B2BB4" w:rsidRPr="00D36D33" w14:paraId="5A6608B2"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391A1BB" w14:textId="0090BF97" w:rsidR="003B2BB4" w:rsidRPr="00D36D33" w:rsidRDefault="003B2BB4" w:rsidP="00555781">
            <w:pPr>
              <w:contextualSpacing/>
            </w:pPr>
            <w:r>
              <w:t>a)</w:t>
            </w:r>
            <w:r>
              <w:tab/>
              <w:t xml:space="preserve">együttműködésre és a bevált gyakorlatok cseréjére irányuló partnerségek, beleértve a programhoz való szélesebb körű és inkluzívabb hozzáférés előmozdítására szolgáló kisléptékű partnerségeket is; </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4F65D4C" w14:textId="2C5F9076" w:rsidR="003B2BB4" w:rsidRPr="00D36D33" w:rsidRDefault="003B2BB4" w:rsidP="00555781">
            <w:pPr>
              <w:contextualSpacing/>
            </w:pPr>
            <w:r>
              <w:t>a)</w:t>
            </w:r>
            <w:r>
              <w:tab/>
              <w:t xml:space="preserve">együttműködésre és a bevált gyakorlatok cseréjére irányuló partnerségek, beleértve a programhoz való szélesebb körű és inkluzívabb hozzáférés előmozdítására szolgáló kisléptékű partnerségeket is; </w:t>
            </w:r>
            <w:r>
              <w:rPr>
                <w:b/>
                <w:i/>
              </w:rPr>
              <w:t>annak érdekében, hogy a kisebb helyi és regionális fenntartók is részt tudjanak venni ebben a programban, 6-ra kell csökkenteni azoknak az országoknak a minimális számát, amelyeknek részt kell venniük egy intézkedésben;</w:t>
            </w:r>
          </w:p>
        </w:tc>
      </w:tr>
    </w:tbl>
    <w:p w14:paraId="17687792"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66EF99ED"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DBFECE4" w14:textId="77777777" w:rsidR="003B2BB4" w:rsidRPr="00D36D33" w:rsidRDefault="003B2BB4" w:rsidP="00555781">
            <w:pPr>
              <w:contextualSpacing/>
              <w:jc w:val="center"/>
            </w:pPr>
            <w:r>
              <w:rPr>
                <w:b/>
                <w:i/>
              </w:rPr>
              <w:t>Indokolás</w:t>
            </w:r>
          </w:p>
        </w:tc>
      </w:tr>
      <w:tr w:rsidR="003B2BB4" w:rsidRPr="00D36D33" w14:paraId="0BB238AB"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10F114A8" w14:textId="77777777" w:rsidR="003B2BB4" w:rsidRPr="00D36D33" w:rsidRDefault="003B2BB4" w:rsidP="00555781">
            <w:pPr>
              <w:contextualSpacing/>
            </w:pPr>
            <w:r>
              <w:t xml:space="preserve">Mivel sok tevékenységet a kis helyi vagy regionális fenntartók szerveznek meg, a szélesebb körű és </w:t>
            </w:r>
            <w:r>
              <w:lastRenderedPageBreak/>
              <w:t>inkluzívabb hozzáférés érdekében lehetővé kell tenni ezt a konkrét csökkentést.</w:t>
            </w:r>
          </w:p>
        </w:tc>
      </w:tr>
    </w:tbl>
    <w:p w14:paraId="30A27589" w14:textId="77777777" w:rsidR="003B2BB4" w:rsidRPr="00D36D33" w:rsidRDefault="003B2BB4" w:rsidP="00555781">
      <w:pPr>
        <w:ind w:left="360"/>
        <w:rPr>
          <w:lang w:val="de-DE"/>
        </w:rPr>
      </w:pPr>
    </w:p>
    <w:p w14:paraId="6383C8AE" w14:textId="77777777" w:rsidR="003B2BB4" w:rsidRPr="00D36D33" w:rsidRDefault="003B2BB4" w:rsidP="00555781">
      <w:pPr>
        <w:ind w:left="360"/>
        <w:jc w:val="center"/>
      </w:pPr>
      <w:r>
        <w:rPr>
          <w:b/>
        </w:rPr>
        <w:t>26. módosítás</w:t>
      </w:r>
    </w:p>
    <w:p w14:paraId="51B6B917" w14:textId="77777777" w:rsidR="003B2BB4" w:rsidRPr="00D36D33" w:rsidRDefault="003B2BB4" w:rsidP="00555781">
      <w:pPr>
        <w:ind w:left="360"/>
        <w:jc w:val="center"/>
      </w:pPr>
      <w:r>
        <w:rPr>
          <w:b/>
        </w:rPr>
        <w:t>VIII. fejezet – 22. cikk – (1) bekezdés</w:t>
      </w:r>
    </w:p>
    <w:p w14:paraId="69E78730"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20B0E1E0"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23A227D"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B49FE63" w14:textId="77777777" w:rsidR="003B2BB4" w:rsidRPr="00D36D33" w:rsidRDefault="003B2BB4" w:rsidP="00555781">
            <w:pPr>
              <w:contextualSpacing/>
              <w:jc w:val="center"/>
            </w:pPr>
            <w:r>
              <w:rPr>
                <w:b/>
                <w:i/>
              </w:rPr>
              <w:t xml:space="preserve">Az RB módosítása </w:t>
            </w:r>
          </w:p>
        </w:tc>
      </w:tr>
      <w:tr w:rsidR="003B2BB4" w:rsidRPr="00D36D33" w14:paraId="115315BA"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BC69AB2" w14:textId="6935C23A" w:rsidR="003B2BB4" w:rsidRPr="00D36D33" w:rsidRDefault="003B2BB4" w:rsidP="00555781">
            <w:pPr>
              <w:contextualSpacing/>
            </w:pPr>
            <w:r>
              <w:t>A 24. cikkben említett nemzeti irodák egységes stratégiát dolgoznak ki a program keretében irányított cselekvéseik által támogatott tevékenységek eredményeinek hatékony terjesztése és kiaknázása tekintetében, és támogatják a Bizottságot a programra és az eredményeire vonatkozó információk – beleértve a nemzeti és uniós szinten irányított cselekvésekre és tevékenységekre vonatkozó információkat – terjesztésében, illetve tájékoztatják az érintett célcsoportokat az országukban megvalósuló cselekvésekről.</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0D29A2B1" w14:textId="4E691039" w:rsidR="003B2BB4" w:rsidRPr="00D36D33" w:rsidRDefault="003B2BB4" w:rsidP="00555781">
            <w:pPr>
              <w:contextualSpacing/>
            </w:pPr>
            <w:r>
              <w:t xml:space="preserve">A 24. cikkben említett nemzeti irodák egységes stratégiát dolgoznak ki a program keretében irányított cselekvéseik által támogatott tevékenységek eredményeinek hatékony terjesztése és kiaknázása tekintetében, </w:t>
            </w:r>
            <w:r>
              <w:rPr>
                <w:b/>
                <w:i/>
              </w:rPr>
              <w:t xml:space="preserve">amely láthatóvá teszi a program egyes területeit, </w:t>
            </w:r>
            <w:r>
              <w:t xml:space="preserve">és támogatják a Bizottságot a programra és az eredményeire vonatkozó információk – beleértve a nemzeti és uniós szinten irányított cselekvésekre és tevékenységekre vonatkozó információkat – terjesztésében, illetve </w:t>
            </w:r>
            <w:r>
              <w:rPr>
                <w:b/>
                <w:i/>
              </w:rPr>
              <w:t xml:space="preserve">az előkészítő iskoláktól kezdve a felsőoktatási intézményekig az érdekelt felekkel egyeztetve </w:t>
            </w:r>
            <w:r>
              <w:t xml:space="preserve">tájékoztatják az érintett célcsoportokat </w:t>
            </w:r>
            <w:r>
              <w:rPr>
                <w:b/>
                <w:i/>
              </w:rPr>
              <w:t xml:space="preserve">a megfelelő médiákban </w:t>
            </w:r>
            <w:r>
              <w:t>az országukban megvalósuló cselekvésekről.</w:t>
            </w:r>
          </w:p>
        </w:tc>
      </w:tr>
    </w:tbl>
    <w:p w14:paraId="3B75479A"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0B053BC3"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D48C048" w14:textId="77777777" w:rsidR="003B2BB4" w:rsidRPr="00D36D33" w:rsidRDefault="003B2BB4" w:rsidP="00555781">
            <w:pPr>
              <w:contextualSpacing/>
              <w:jc w:val="center"/>
            </w:pPr>
            <w:r>
              <w:rPr>
                <w:b/>
                <w:i/>
              </w:rPr>
              <w:t>Indokolás</w:t>
            </w:r>
          </w:p>
        </w:tc>
      </w:tr>
      <w:tr w:rsidR="003B2BB4" w:rsidRPr="00D36D33" w14:paraId="3C7033CE"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62D264C1" w14:textId="2C352374" w:rsidR="003B2BB4" w:rsidRPr="00D36D33" w:rsidRDefault="003B2BB4" w:rsidP="00555781">
            <w:pPr>
              <w:contextualSpacing/>
            </w:pPr>
            <w:r>
              <w:t>Annak érdekében, hogy a kitűzött cél szerint meg lehessen háromszorozni a résztvevők számát, mind a külső, mind pedig a belső kommunikációban megfelelően figyelembe kell venni a programterületeket, hogy ezáltal multiplikátorhatást érhessenek el.</w:t>
            </w:r>
          </w:p>
        </w:tc>
      </w:tr>
    </w:tbl>
    <w:p w14:paraId="37802AB2" w14:textId="77777777" w:rsidR="003B2BB4" w:rsidRPr="00D36D33" w:rsidRDefault="003B2BB4" w:rsidP="00555781">
      <w:pPr>
        <w:ind w:left="360"/>
        <w:rPr>
          <w:lang w:val="de-DE"/>
        </w:rPr>
      </w:pPr>
    </w:p>
    <w:p w14:paraId="5E987352" w14:textId="77777777" w:rsidR="003B2BB4" w:rsidRPr="00D36D33" w:rsidRDefault="003B2BB4" w:rsidP="00555781">
      <w:pPr>
        <w:ind w:left="360"/>
        <w:jc w:val="center"/>
      </w:pPr>
      <w:r>
        <w:rPr>
          <w:b/>
        </w:rPr>
        <w:t>27. módosítás</w:t>
      </w:r>
    </w:p>
    <w:p w14:paraId="198CE935" w14:textId="77777777" w:rsidR="003B2BB4" w:rsidRPr="00D36D33" w:rsidRDefault="003B2BB4" w:rsidP="00555781">
      <w:pPr>
        <w:ind w:left="360"/>
        <w:jc w:val="center"/>
      </w:pPr>
      <w:r>
        <w:rPr>
          <w:b/>
        </w:rPr>
        <w:t>IX. fejezet – 24. cikk – (1) bekezdés</w:t>
      </w:r>
    </w:p>
    <w:p w14:paraId="4DDB569E"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6D76A733"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296C65C"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1D44A4E5" w14:textId="77777777" w:rsidR="003B2BB4" w:rsidRPr="00D36D33" w:rsidRDefault="003B2BB4" w:rsidP="00555781">
            <w:pPr>
              <w:contextualSpacing/>
              <w:jc w:val="center"/>
            </w:pPr>
            <w:r>
              <w:rPr>
                <w:b/>
                <w:i/>
              </w:rPr>
              <w:t xml:space="preserve">Az RB módosítása </w:t>
            </w:r>
          </w:p>
        </w:tc>
      </w:tr>
      <w:tr w:rsidR="003B2BB4" w:rsidRPr="00D36D33" w14:paraId="2D2CD73F"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BF950B3" w14:textId="77777777" w:rsidR="003B2BB4" w:rsidRPr="00D36D33" w:rsidRDefault="003B2BB4" w:rsidP="00555781">
            <w:pPr>
              <w:contextualSpacing/>
            </w:pPr>
            <w:r>
              <w:t>(1) A nemzeti iroda:</w:t>
            </w:r>
          </w:p>
          <w:p w14:paraId="2699E8ED" w14:textId="77777777" w:rsidR="003B2BB4" w:rsidRPr="00D36D33" w:rsidRDefault="003B2BB4" w:rsidP="00555781">
            <w:pPr>
              <w:contextualSpacing/>
              <w:rPr>
                <w:lang w:val="de-DE"/>
              </w:rPr>
            </w:pPr>
          </w:p>
          <w:p w14:paraId="79899659" w14:textId="458D4775" w:rsidR="003B2BB4" w:rsidRPr="00D36D33" w:rsidRDefault="003B2BB4" w:rsidP="00555781">
            <w:pPr>
              <w:contextualSpacing/>
            </w:pPr>
            <w:r>
              <w:t>a)</w:t>
            </w:r>
            <w:r>
              <w:tab/>
              <w:t>jogi személyiséggel rendelkezik, vagy egy jogi személyiséggel rendelkező jogalany része, és tevékenységét az érintett tagállam joga szabályozza; minisztérium nem jelölhető ki nemzeti irodának;</w:t>
            </w:r>
          </w:p>
          <w:p w14:paraId="2E59D4C3" w14:textId="3838DD20" w:rsidR="003B2BB4" w:rsidRPr="00D36D33" w:rsidRDefault="003B2BB4" w:rsidP="00555781">
            <w:pPr>
              <w:contextualSpacing/>
            </w:pPr>
            <w:r>
              <w:t>b)</w:t>
            </w:r>
            <w:r>
              <w:tab/>
              <w:t>megfelelő irányítási kapacitással, személyzettel és infrastruktúrával rendelkezik ahhoz, hogy kielégítően lássa el feladatait, és biztosítsa a program hatékony és eredményes irányítását, valamint az uniós pénzeszközök hatékony és eredményes kezelését;</w:t>
            </w:r>
          </w:p>
          <w:p w14:paraId="4743FD0E" w14:textId="731F680C" w:rsidR="003B2BB4" w:rsidRPr="00D36D33" w:rsidRDefault="003B2BB4" w:rsidP="00555781">
            <w:pPr>
              <w:contextualSpacing/>
            </w:pPr>
            <w:r>
              <w:lastRenderedPageBreak/>
              <w:t>c)</w:t>
            </w:r>
            <w:r>
              <w:tab/>
              <w:t>rendelkezik az uniós szinten megállapított igazgatási, szerződéses és pénzügyi irányítási szabályok alkalmazásához szükséges működési és jogi eszközökkel;</w:t>
            </w:r>
          </w:p>
          <w:p w14:paraId="164FCF1D" w14:textId="2F65CEC6" w:rsidR="003B2BB4" w:rsidRPr="00D36D33" w:rsidRDefault="003B2BB4" w:rsidP="00555781">
            <w:pPr>
              <w:contextualSpacing/>
            </w:pPr>
            <w:r>
              <w:t>d)</w:t>
            </w:r>
            <w:r>
              <w:tab/>
              <w:t>megfelelő, lehetőleg közigazgatási szerv által nyújtott pénzügyi garanciákat nyújt, amelyek megfelelnek azon uniós pénzeszközök szintjének, amelyek kezelésére felkérik;</w:t>
            </w:r>
          </w:p>
          <w:p w14:paraId="55EB1C8E" w14:textId="3148E24E" w:rsidR="003B2BB4" w:rsidRPr="00D36D33" w:rsidRDefault="003B2BB4" w:rsidP="00555781">
            <w:pPr>
              <w:contextualSpacing/>
            </w:pPr>
            <w:r>
              <w:t>e)</w:t>
            </w:r>
            <w:r>
              <w:tab/>
              <w:t xml:space="preserve">a program időtartamára kap kijelölést. </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7B35A17" w14:textId="77777777" w:rsidR="003B2BB4" w:rsidRPr="00D36D33" w:rsidRDefault="003B2BB4" w:rsidP="00555781">
            <w:pPr>
              <w:contextualSpacing/>
            </w:pPr>
            <w:r>
              <w:lastRenderedPageBreak/>
              <w:t>(1) A nemzeti iroda:</w:t>
            </w:r>
          </w:p>
          <w:p w14:paraId="7693EA69" w14:textId="77777777" w:rsidR="003B2BB4" w:rsidRPr="00D36D33" w:rsidRDefault="003B2BB4" w:rsidP="00555781">
            <w:pPr>
              <w:contextualSpacing/>
              <w:rPr>
                <w:lang w:val="de-DE"/>
              </w:rPr>
            </w:pPr>
          </w:p>
          <w:p w14:paraId="2394B7FB" w14:textId="24BBE051" w:rsidR="003B2BB4" w:rsidRPr="00D36D33" w:rsidRDefault="003B2BB4" w:rsidP="00555781">
            <w:pPr>
              <w:contextualSpacing/>
            </w:pPr>
            <w:r>
              <w:t>a)</w:t>
            </w:r>
            <w:r>
              <w:tab/>
              <w:t>jogi személyiséggel rendelkezik, vagy egy jogi személyiséggel rendelkező jogalany része, és tevékenységét az érintett tagállam joga szabályozza; minisztérium nem jelölhető ki nemzeti irodának;</w:t>
            </w:r>
          </w:p>
          <w:p w14:paraId="1B62D900" w14:textId="04430C20" w:rsidR="003B2BB4" w:rsidRPr="00D36D33" w:rsidRDefault="003B2BB4" w:rsidP="00555781">
            <w:pPr>
              <w:contextualSpacing/>
            </w:pPr>
            <w:r>
              <w:t>b)</w:t>
            </w:r>
            <w:r>
              <w:tab/>
              <w:t>megfelelő irányítási kapacitással, személyzettel és infrastruktúrával rendelkezik ahhoz, hogy kielégítően lássa el feladatait, és biztosítsa a program hatékony és eredményes irányítását, valamint az uniós pénzeszközök hatékony és eredményes kezelését;</w:t>
            </w:r>
          </w:p>
          <w:p w14:paraId="3A2B8D0C" w14:textId="3F4D556C" w:rsidR="003B2BB4" w:rsidRPr="00D36D33" w:rsidRDefault="003B2BB4" w:rsidP="00555781">
            <w:pPr>
              <w:contextualSpacing/>
            </w:pPr>
            <w:r>
              <w:lastRenderedPageBreak/>
              <w:t>c)</w:t>
            </w:r>
            <w:r>
              <w:tab/>
              <w:t>rendelkezik az uniós szinten megállapított igazgatási, szerződéses és pénzügyi irányítási szabályok alkalmazásához szükséges működési és jogi eszközökkel;</w:t>
            </w:r>
          </w:p>
          <w:p w14:paraId="33CEDA1B" w14:textId="6F85A557" w:rsidR="003B2BB4" w:rsidRPr="00D36D33" w:rsidRDefault="003B2BB4" w:rsidP="00555781">
            <w:pPr>
              <w:contextualSpacing/>
            </w:pPr>
            <w:r>
              <w:t>d)</w:t>
            </w:r>
            <w:r>
              <w:tab/>
              <w:t>megfelelő, lehetőleg közigazgatási szerv által nyújtott pénzügyi garanciákat nyújt, amelyek megfelelnek azon uniós pénzeszközök szintjének, amelyek kezelésére felkérik;</w:t>
            </w:r>
          </w:p>
          <w:p w14:paraId="79635259" w14:textId="541EAAC5" w:rsidR="003B2BB4" w:rsidRPr="00D36D33" w:rsidRDefault="003B2BB4" w:rsidP="00555781">
            <w:pPr>
              <w:contextualSpacing/>
            </w:pPr>
            <w:r>
              <w:t>e)</w:t>
            </w:r>
            <w:r>
              <w:tab/>
            </w:r>
            <w:r>
              <w:rPr>
                <w:b/>
                <w:i/>
              </w:rPr>
              <w:t>helyi és regionális szinten egy tanácsadó testületet és egy ombudsmani hivatalt hoz létre;</w:t>
            </w:r>
          </w:p>
          <w:p w14:paraId="725B21CE" w14:textId="47E01396" w:rsidR="003B2BB4" w:rsidRPr="00D36D33" w:rsidRDefault="003B2BB4" w:rsidP="00555781">
            <w:pPr>
              <w:contextualSpacing/>
            </w:pPr>
            <w:r>
              <w:rPr>
                <w:b/>
                <w:i/>
              </w:rPr>
              <w:t>f)</w:t>
            </w:r>
            <w:r>
              <w:rPr>
                <w:b/>
                <w:i/>
              </w:rPr>
              <w:tab/>
            </w:r>
            <w:r>
              <w:t>a program időtartamára kap kijelölést.</w:t>
            </w:r>
          </w:p>
        </w:tc>
      </w:tr>
    </w:tbl>
    <w:p w14:paraId="2C4A45A8"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3365B4B6"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385F1998" w14:textId="77777777" w:rsidR="003B2BB4" w:rsidRPr="00D36D33" w:rsidRDefault="003B2BB4" w:rsidP="00527A72">
            <w:pPr>
              <w:keepNext/>
              <w:contextualSpacing/>
              <w:jc w:val="center"/>
            </w:pPr>
            <w:r>
              <w:rPr>
                <w:b/>
                <w:i/>
              </w:rPr>
              <w:t>Indokolás</w:t>
            </w:r>
          </w:p>
        </w:tc>
      </w:tr>
      <w:tr w:rsidR="003B2BB4" w:rsidRPr="00D36D33" w14:paraId="5464DE3E" w14:textId="77777777" w:rsidTr="00761F73">
        <w:trPr>
          <w:trHeight w:val="2130"/>
        </w:trPr>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5FD27173" w14:textId="77777777" w:rsidR="003B2BB4" w:rsidRPr="00D36D33" w:rsidRDefault="003B2BB4" w:rsidP="00555781">
            <w:pPr>
              <w:contextualSpacing/>
            </w:pPr>
            <w:r>
              <w:t>Más nemzeti irodáknak is fel kellene használniuk azokat a jó tapasztalatokat, amelyek Németországban a Szövetségi Szakképzési Intézet (BIBB) szerzett a felhasználói tanácsadó testület létrehozásával, hogy az érintetteket még szorosabban bevonják a programba és különösen annak végrehajtásába.</w:t>
            </w:r>
          </w:p>
          <w:p w14:paraId="27571F9F" w14:textId="77777777" w:rsidR="003B2BB4" w:rsidRPr="00D36D33" w:rsidRDefault="003B2BB4" w:rsidP="00555781">
            <w:pPr>
              <w:contextualSpacing/>
            </w:pPr>
            <w:r>
              <w:t>Mivel korábban újra és újra kifogásokat nyújtottak be a nemzeti irodák támogatási határozataival szemben, és nem észszerű, hogy maguk a nemzeti irodák dönthessenek a határozataikkal szemben benyújtott kifogásokról, felkínálja magát az a megoldás, amelyet Ausztriában már a gyakorlatban is alkalmaznak, hogy egy megfelelő ombudsmani hivatalt hoznak létre, amely biztosítja a döntéshozatali eljárás átláthatóságát, és hozzájárulhat a szakmailag kompetens, de semleges megoldásokhoz.</w:t>
            </w:r>
          </w:p>
        </w:tc>
      </w:tr>
    </w:tbl>
    <w:p w14:paraId="3CAED54D" w14:textId="77777777" w:rsidR="003B2BB4" w:rsidRPr="00D36D33" w:rsidRDefault="003B2BB4" w:rsidP="00555781">
      <w:pPr>
        <w:ind w:left="360"/>
        <w:rPr>
          <w:lang w:val="de-DE"/>
        </w:rPr>
      </w:pPr>
    </w:p>
    <w:p w14:paraId="37037CEE" w14:textId="77777777" w:rsidR="003B2BB4" w:rsidRPr="00D36D33" w:rsidRDefault="003B2BB4" w:rsidP="00555781">
      <w:pPr>
        <w:ind w:left="360"/>
        <w:jc w:val="center"/>
      </w:pPr>
      <w:r>
        <w:rPr>
          <w:b/>
        </w:rPr>
        <w:t>28. módosítás</w:t>
      </w:r>
    </w:p>
    <w:p w14:paraId="1BDC9506" w14:textId="77777777" w:rsidR="003B2BB4" w:rsidRPr="00D36D33" w:rsidRDefault="003B2BB4" w:rsidP="00555781">
      <w:pPr>
        <w:ind w:left="360"/>
        <w:jc w:val="center"/>
      </w:pPr>
      <w:r>
        <w:rPr>
          <w:b/>
        </w:rPr>
        <w:t>IX. fejezet – 25. cikk – új, (8) bekezdés</w:t>
      </w:r>
    </w:p>
    <w:p w14:paraId="784DC37E"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272A18CF"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5A51C171"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D76F1E2" w14:textId="77777777" w:rsidR="003B2BB4" w:rsidRPr="00D36D33" w:rsidRDefault="003B2BB4" w:rsidP="00555781">
            <w:pPr>
              <w:contextualSpacing/>
              <w:jc w:val="center"/>
            </w:pPr>
            <w:r>
              <w:rPr>
                <w:b/>
                <w:i/>
              </w:rPr>
              <w:t xml:space="preserve">Az RB módosítása </w:t>
            </w:r>
          </w:p>
        </w:tc>
      </w:tr>
      <w:tr w:rsidR="003B2BB4" w:rsidRPr="00D36D33" w14:paraId="23A4D43A"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7EB54E1" w14:textId="77777777" w:rsidR="003B2BB4" w:rsidRPr="00D36D33" w:rsidRDefault="003B2BB4" w:rsidP="00555781">
            <w:pPr>
              <w:contextualSpacing/>
              <w:rPr>
                <w:lang w:val="de-DE"/>
              </w:rPr>
            </w:pP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0A240A1E" w14:textId="3CD07AE9" w:rsidR="003B2BB4" w:rsidRPr="00D36D33" w:rsidRDefault="003B2BB4" w:rsidP="00555781">
            <w:pPr>
              <w:contextualSpacing/>
            </w:pPr>
            <w:r>
              <w:rPr>
                <w:b/>
                <w:i/>
              </w:rPr>
              <w:t>Az Európai Bizottság létrehoz egy tanácsadó testületet, amelynek keretében a jelentős érdekelt felek – a helyi és regionális érdekeltek is – folyamatosan konzultálnak az Európai Bizottsággal, és ezáltal hozzájárulnak a program céljainak jobb eléréséhez.</w:t>
            </w:r>
          </w:p>
        </w:tc>
      </w:tr>
    </w:tbl>
    <w:p w14:paraId="056E78CF"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52D7C112"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7A1D5877" w14:textId="77777777" w:rsidR="003B2BB4" w:rsidRPr="00D36D33" w:rsidRDefault="003B2BB4" w:rsidP="00555781">
            <w:pPr>
              <w:contextualSpacing/>
              <w:jc w:val="center"/>
            </w:pPr>
            <w:r>
              <w:rPr>
                <w:b/>
                <w:i/>
              </w:rPr>
              <w:t>Indokolás</w:t>
            </w:r>
          </w:p>
        </w:tc>
      </w:tr>
      <w:tr w:rsidR="003B2BB4" w:rsidRPr="00D36D33" w14:paraId="115E8C12" w14:textId="77777777" w:rsidTr="00761F73">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A16A256" w14:textId="77777777" w:rsidR="003B2BB4" w:rsidRPr="00D36D33" w:rsidRDefault="003B2BB4" w:rsidP="00555781">
            <w:pPr>
              <w:contextualSpacing/>
            </w:pPr>
            <w:r>
              <w:t>Az Európai Bizottságnak is fel kellene használnia azokat a jó tapasztalatokat, amelyeket Németországban a Szövetségi Szakképzési Intézet (BIBB) szerzett a felhasználói tanácsadó testület létrehozásával, hogy az érintetteket még szorosabban bevonják a programba és különösen annak végrehajtásába.</w:t>
            </w:r>
          </w:p>
        </w:tc>
      </w:tr>
    </w:tbl>
    <w:p w14:paraId="1DDFDF70" w14:textId="77777777" w:rsidR="003B2BB4" w:rsidRPr="00D36D33" w:rsidRDefault="003B2BB4" w:rsidP="00555781">
      <w:pPr>
        <w:ind w:left="360"/>
        <w:rPr>
          <w:lang w:val="de-DE"/>
        </w:rPr>
      </w:pPr>
    </w:p>
    <w:p w14:paraId="308B8934" w14:textId="77777777" w:rsidR="003B2BB4" w:rsidRPr="00D36D33" w:rsidRDefault="003B2BB4" w:rsidP="00555781">
      <w:pPr>
        <w:ind w:left="360"/>
        <w:jc w:val="center"/>
      </w:pPr>
      <w:r>
        <w:rPr>
          <w:b/>
        </w:rPr>
        <w:t>29. módosítás</w:t>
      </w:r>
    </w:p>
    <w:p w14:paraId="741B6E99" w14:textId="77777777" w:rsidR="003B2BB4" w:rsidRPr="00D36D33" w:rsidRDefault="003B2BB4" w:rsidP="00555781">
      <w:pPr>
        <w:ind w:left="360"/>
        <w:jc w:val="center"/>
      </w:pPr>
      <w:r>
        <w:rPr>
          <w:b/>
        </w:rPr>
        <w:t>XII. fejezet – 31. cikk – (2) bekezdés</w:t>
      </w:r>
    </w:p>
    <w:p w14:paraId="5B6ED433" w14:textId="77777777" w:rsidR="003B2BB4" w:rsidRPr="00D36D33" w:rsidRDefault="003B2BB4" w:rsidP="00555781">
      <w:pPr>
        <w:ind w:left="360"/>
        <w:rPr>
          <w:lang w:val="de-DE"/>
        </w:rPr>
      </w:pPr>
    </w:p>
    <w:tbl>
      <w:tblPr>
        <w:tblW w:w="9236" w:type="dxa"/>
        <w:tblLayout w:type="fixed"/>
        <w:tblCellMar>
          <w:left w:w="10" w:type="dxa"/>
          <w:right w:w="10" w:type="dxa"/>
        </w:tblCellMar>
        <w:tblLook w:val="0000" w:firstRow="0" w:lastRow="0" w:firstColumn="0" w:lastColumn="0" w:noHBand="0" w:noVBand="0"/>
      </w:tblPr>
      <w:tblGrid>
        <w:gridCol w:w="4618"/>
        <w:gridCol w:w="4618"/>
      </w:tblGrid>
      <w:tr w:rsidR="003B2BB4" w:rsidRPr="00D36D33" w14:paraId="2C3CF63E" w14:textId="77777777" w:rsidTr="00F83EAE">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5CF82AB" w14:textId="77777777" w:rsidR="003B2BB4" w:rsidRPr="00D36D33" w:rsidRDefault="003B2BB4" w:rsidP="00555781">
            <w:pPr>
              <w:contextualSpacing/>
              <w:jc w:val="center"/>
            </w:pPr>
            <w:r>
              <w:rPr>
                <w:b/>
                <w:i/>
              </w:rPr>
              <w:t>Az Európai Bizottság által javasolt szöveg</w:t>
            </w: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44D4A14E" w14:textId="77777777" w:rsidR="003B2BB4" w:rsidRPr="00D36D33" w:rsidRDefault="003B2BB4" w:rsidP="00555781">
            <w:pPr>
              <w:contextualSpacing/>
              <w:jc w:val="center"/>
            </w:pPr>
            <w:r>
              <w:rPr>
                <w:b/>
                <w:i/>
              </w:rPr>
              <w:t xml:space="preserve">Az RB módosítása </w:t>
            </w:r>
          </w:p>
        </w:tc>
      </w:tr>
      <w:tr w:rsidR="003B2BB4" w:rsidRPr="00D36D33" w14:paraId="262C240C" w14:textId="77777777" w:rsidTr="00761F73">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39BF783F" w14:textId="77777777" w:rsidR="003B2BB4" w:rsidRPr="00D36D33" w:rsidRDefault="003B2BB4" w:rsidP="00555781">
            <w:pPr>
              <w:contextualSpacing/>
            </w:pPr>
            <w:r>
              <w:t xml:space="preserve">A bizottság egyedi formációban is ülésezhet, </w:t>
            </w:r>
            <w:r>
              <w:lastRenderedPageBreak/>
              <w:t>hogy ágazati kérdésekkel foglalkozzon, illetve adott esetben a bizottság eljárási szabályaival összhangban, eseti alapon külső szakértőket – többek között a szociális partnerek képviselőit – lehet meghívni, hogy az üléseken megfigyelőként részt vegyenek.</w:t>
            </w:r>
          </w:p>
          <w:p w14:paraId="0174ECEC" w14:textId="77777777" w:rsidR="003B2BB4" w:rsidRPr="00D36D33" w:rsidRDefault="003B2BB4" w:rsidP="00555781">
            <w:pPr>
              <w:contextualSpacing/>
              <w:rPr>
                <w:lang w:val="de-DE"/>
              </w:rPr>
            </w:pPr>
          </w:p>
        </w:tc>
        <w:tc>
          <w:tcPr>
            <w:tcW w:w="4618"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7DB1B9A7" w14:textId="77777777" w:rsidR="003B2BB4" w:rsidRPr="00D36D33" w:rsidRDefault="003B2BB4" w:rsidP="00555781">
            <w:pPr>
              <w:contextualSpacing/>
            </w:pPr>
            <w:r>
              <w:lastRenderedPageBreak/>
              <w:t xml:space="preserve">A bizottság egyedi formációban is ülésezhet, </w:t>
            </w:r>
            <w:r>
              <w:lastRenderedPageBreak/>
              <w:t xml:space="preserve">hogy ágazati kérdésekkel foglalkozzon, illetve adott esetben a bizottság eljárási szabályaival összhangban, eseti alapon külső szakértőket – többek között a szociális partnerek képviselőit </w:t>
            </w:r>
            <w:r>
              <w:rPr>
                <w:b/>
                <w:i/>
              </w:rPr>
              <w:t xml:space="preserve">vagy az érintett érdekelt feleket </w:t>
            </w:r>
            <w:r>
              <w:t xml:space="preserve">– lehet meghívni, hogy az üléseken megfigyelőként részt vegyenek. </w:t>
            </w:r>
          </w:p>
        </w:tc>
      </w:tr>
    </w:tbl>
    <w:p w14:paraId="066FA047" w14:textId="77777777" w:rsidR="003B2BB4" w:rsidRPr="00D36D33" w:rsidRDefault="003B2BB4" w:rsidP="00555781">
      <w:pPr>
        <w:ind w:left="360"/>
        <w:rPr>
          <w:lang w:val="de-DE"/>
        </w:rPr>
      </w:pPr>
    </w:p>
    <w:tbl>
      <w:tblPr>
        <w:tblW w:w="9287" w:type="dxa"/>
        <w:tblLayout w:type="fixed"/>
        <w:tblCellMar>
          <w:left w:w="10" w:type="dxa"/>
          <w:right w:w="10" w:type="dxa"/>
        </w:tblCellMar>
        <w:tblLook w:val="0000" w:firstRow="0" w:lastRow="0" w:firstColumn="0" w:lastColumn="0" w:noHBand="0" w:noVBand="0"/>
      </w:tblPr>
      <w:tblGrid>
        <w:gridCol w:w="9287"/>
      </w:tblGrid>
      <w:tr w:rsidR="003B2BB4" w:rsidRPr="00D36D33" w14:paraId="3FE747BF" w14:textId="77777777" w:rsidTr="00F83EAE">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 w:type="dxa"/>
              <w:right w:w="10" w:type="dxa"/>
            </w:tcMar>
          </w:tcPr>
          <w:p w14:paraId="036474F3" w14:textId="77777777" w:rsidR="003B2BB4" w:rsidRPr="00D36D33" w:rsidRDefault="003B2BB4" w:rsidP="00555781">
            <w:pPr>
              <w:contextualSpacing/>
              <w:jc w:val="center"/>
            </w:pPr>
            <w:r>
              <w:rPr>
                <w:b/>
                <w:i/>
              </w:rPr>
              <w:t>Indokolás</w:t>
            </w:r>
          </w:p>
        </w:tc>
      </w:tr>
      <w:tr w:rsidR="003B2BB4" w:rsidRPr="00D36D33" w14:paraId="07F2C1AA" w14:textId="77777777" w:rsidTr="00125F65">
        <w:tc>
          <w:tcPr>
            <w:tcW w:w="9287" w:type="dxa"/>
            <w:tcBorders>
              <w:top w:val="single" w:sz="6" w:space="0" w:color="00000A"/>
              <w:left w:val="single" w:sz="6" w:space="0" w:color="00000A"/>
              <w:bottom w:val="single" w:sz="6" w:space="0" w:color="00000A"/>
              <w:right w:val="single" w:sz="6" w:space="0" w:color="00000A"/>
            </w:tcBorders>
            <w:shd w:val="clear" w:color="auto" w:fill="FFFFFF"/>
            <w:tcMar>
              <w:left w:w="108" w:type="dxa"/>
              <w:right w:w="108" w:type="dxa"/>
            </w:tcMar>
          </w:tcPr>
          <w:p w14:paraId="26B85071" w14:textId="2507FE82" w:rsidR="003B2BB4" w:rsidRPr="00D36D33" w:rsidRDefault="003B2BB4" w:rsidP="00555781">
            <w:pPr>
              <w:contextualSpacing/>
            </w:pPr>
            <w:r>
              <w:t>Magától értetődik.</w:t>
            </w:r>
          </w:p>
        </w:tc>
      </w:tr>
    </w:tbl>
    <w:p w14:paraId="06FC5C98" w14:textId="6E328637" w:rsidR="003B2BB4" w:rsidRDefault="003B2BB4" w:rsidP="00555781">
      <w:pPr>
        <w:rPr>
          <w:lang w:val="de-DE"/>
        </w:rPr>
      </w:pPr>
    </w:p>
    <w:p w14:paraId="2353D7A8" w14:textId="77777777" w:rsidR="00555781" w:rsidRPr="00D36D33" w:rsidRDefault="00555781" w:rsidP="00555781">
      <w:pPr>
        <w:rPr>
          <w:lang w:val="de-DE"/>
        </w:rPr>
      </w:pPr>
    </w:p>
    <w:p w14:paraId="10C7737E" w14:textId="77777777" w:rsidR="00606B5A" w:rsidRPr="00D36D33" w:rsidRDefault="00606B5A" w:rsidP="00555781">
      <w:pPr>
        <w:keepNext/>
        <w:numPr>
          <w:ilvl w:val="0"/>
          <w:numId w:val="22"/>
        </w:numPr>
        <w:ind w:left="567" w:hanging="567"/>
        <w:rPr>
          <w:b/>
          <w:bCs/>
        </w:rPr>
      </w:pPr>
      <w:r>
        <w:rPr>
          <w:b/>
          <w:bCs/>
        </w:rPr>
        <w:t>POLITIKAI AJÁNLÁSOK</w:t>
      </w:r>
    </w:p>
    <w:p w14:paraId="10C7737F" w14:textId="77777777" w:rsidR="00606B5A" w:rsidRPr="00D36D33" w:rsidRDefault="00606B5A" w:rsidP="00555781">
      <w:pPr>
        <w:keepNext/>
        <w:rPr>
          <w:lang w:val="de-DE"/>
        </w:rPr>
      </w:pPr>
    </w:p>
    <w:p w14:paraId="4BA025B7" w14:textId="77777777" w:rsidR="00E460B3" w:rsidRPr="00D36D33" w:rsidRDefault="00E460B3" w:rsidP="00555781">
      <w:pPr>
        <w:contextualSpacing/>
      </w:pPr>
      <w:r>
        <w:t>A RÉGIÓK EURÓPAI BIZOTTSÁGA</w:t>
      </w:r>
    </w:p>
    <w:p w14:paraId="59D3CB06" w14:textId="77777777" w:rsidR="00E460B3" w:rsidRPr="00D36D33" w:rsidRDefault="00E460B3" w:rsidP="00555781">
      <w:pPr>
        <w:contextualSpacing/>
        <w:rPr>
          <w:lang w:val="de-DE"/>
        </w:rPr>
      </w:pPr>
    </w:p>
    <w:p w14:paraId="2D209473" w14:textId="77777777" w:rsidR="00E460B3" w:rsidRPr="00D36D33" w:rsidRDefault="00E460B3" w:rsidP="00555781">
      <w:pPr>
        <w:contextualSpacing/>
        <w:rPr>
          <w:rFonts w:eastAsia="Calibri"/>
        </w:rPr>
      </w:pPr>
      <w:r>
        <w:t>Általános észrevételek</w:t>
      </w:r>
    </w:p>
    <w:p w14:paraId="3072A4EA" w14:textId="77777777" w:rsidR="00E460B3" w:rsidRPr="00D36D33" w:rsidRDefault="00E460B3" w:rsidP="00555781">
      <w:pPr>
        <w:contextualSpacing/>
        <w:rPr>
          <w:lang w:val="de-DE"/>
        </w:rPr>
      </w:pPr>
    </w:p>
    <w:p w14:paraId="55EBCF80"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üdvözli azt az általános célkitűzést, hogy Európában és azon kívül támogatni kívánják az emberek tanulmányi előmenetelét és szakmai és személyes fejlődését az iskolarendszeren kívüli képzés, az oktatás és a képzés területén, ezáltal hozzájárulva a fenntartható növekedéshez, a munkahelyteremtéshez és a társadalmi kohézióhoz, továbbá az európai identitás erősítéséhez; ez a fontos munka helyben, helyi és regionális szinten kezdődik meg, és ezért szorosan össze kell kapcsolni az európai szinttel;</w:t>
      </w:r>
    </w:p>
    <w:p w14:paraId="392D6CCA" w14:textId="77777777" w:rsidR="00E460B3" w:rsidRPr="00D36D33" w:rsidRDefault="00E460B3" w:rsidP="00555781">
      <w:pPr>
        <w:suppressAutoHyphens/>
        <w:overflowPunct w:val="0"/>
        <w:autoSpaceDE w:val="0"/>
        <w:autoSpaceDN w:val="0"/>
        <w:textAlignment w:val="baseline"/>
        <w:rPr>
          <w:lang w:val="de-DE"/>
        </w:rPr>
      </w:pPr>
    </w:p>
    <w:p w14:paraId="52844587" w14:textId="42DEDAF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üdvözli, hogy az Európai Bizottság a program költségvetésének megkétszerezését javasolja, ugyanakkor e feltételek mellett, mint amilyen a nagyobb inkluzivitás – még a program növekvő adminisztratív terheinek jövőbeli megszüntetése esetén is – nehezen tartja elérhetőnek a résztvevők számának megháromszorozására irányuló tervezett célt;</w:t>
      </w:r>
    </w:p>
    <w:p w14:paraId="2C88D64A" w14:textId="77777777" w:rsidR="00E460B3" w:rsidRPr="00D36D33" w:rsidRDefault="00E460B3" w:rsidP="00555781">
      <w:pPr>
        <w:rPr>
          <w:rFonts w:eastAsia="Calibri"/>
          <w:lang w:val="de-DE"/>
        </w:rPr>
      </w:pPr>
    </w:p>
    <w:p w14:paraId="376C38B1" w14:textId="3EBB8E1A"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azt szorgalmazza, hogy a teljes hétéves időszakban átláthatóan és egyenlően osszák el a forrásokat, hogy különösen a programidőszak elején lehetővé tegyék a források növelését és a programmal kapcsolatos elvárások teljesítését.</w:t>
      </w:r>
      <w:r>
        <w:rPr>
          <w:b/>
          <w:i/>
        </w:rPr>
        <w:t xml:space="preserve"> </w:t>
      </w:r>
      <w:r>
        <w:t xml:space="preserve">A költségvetést nem csak az egyes oktatási szektorok szerint kell elkülöníteni, hanem a fő intézkedések között is differenciálni kell, hogy látható legyen, mely részekkel gazdálkodik központilag az Európai Bizottság, és melyekkel decentralizáltan a tagállamok; </w:t>
      </w:r>
    </w:p>
    <w:p w14:paraId="1891A19D" w14:textId="77777777" w:rsidR="00E460B3" w:rsidRPr="00D36D33" w:rsidRDefault="00E460B3" w:rsidP="00555781">
      <w:pPr>
        <w:rPr>
          <w:rFonts w:eastAsia="Calibri"/>
          <w:lang w:val="de-DE"/>
        </w:rPr>
      </w:pPr>
    </w:p>
    <w:p w14:paraId="4DC7A050"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 xml:space="preserve">a program minden területén kifejezetten szorgalmazza a pályázat benyújtásának, a projektirányításnak és a dokumentációs kötelezettségeknek a jelentős egyszerűsítését; </w:t>
      </w:r>
    </w:p>
    <w:p w14:paraId="25F1B783" w14:textId="77777777" w:rsidR="00E460B3" w:rsidRPr="00D36D33" w:rsidRDefault="00E460B3" w:rsidP="00555781">
      <w:pPr>
        <w:rPr>
          <w:rFonts w:eastAsia="Calibri"/>
          <w:lang w:val="de-DE"/>
        </w:rPr>
      </w:pPr>
    </w:p>
    <w:p w14:paraId="7E5DF7DF" w14:textId="3C476339" w:rsidR="00E460B3" w:rsidRPr="00527A72" w:rsidRDefault="00E460B3" w:rsidP="00555781">
      <w:pPr>
        <w:pStyle w:val="ListParagraph"/>
        <w:numPr>
          <w:ilvl w:val="0"/>
          <w:numId w:val="23"/>
        </w:numPr>
        <w:suppressAutoHyphens/>
        <w:overflowPunct w:val="0"/>
        <w:autoSpaceDE w:val="0"/>
        <w:autoSpaceDN w:val="0"/>
        <w:ind w:left="567" w:hanging="567"/>
        <w:textAlignment w:val="baseline"/>
        <w:rPr>
          <w:rFonts w:eastAsia="Calibri"/>
          <w:spacing w:val="-4"/>
        </w:rPr>
      </w:pPr>
      <w:r>
        <w:t>rámutat az egész életen át tartó tanulás jelentőségére: ezért a programnak egyformán támogatnia kell minden munkacsoportot, valamint a formális és nem formális oktatást; hangsúlyozza, hogy az oktatás nem merül ki a foglalkoztathatóság javításában, hanem általánosabban célul kell kitűznie a teljes személyiség kibontakoztatását;</w:t>
      </w:r>
    </w:p>
    <w:p w14:paraId="4519EE43" w14:textId="77777777" w:rsidR="00E460B3" w:rsidRPr="00D36D33" w:rsidRDefault="00E460B3" w:rsidP="00555781">
      <w:pPr>
        <w:rPr>
          <w:rFonts w:eastAsia="Calibri"/>
          <w:lang w:val="de-DE"/>
        </w:rPr>
      </w:pPr>
    </w:p>
    <w:p w14:paraId="75FB2BE8"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lastRenderedPageBreak/>
        <w:t>észszerűnek tartja az Európai Bizottság javaslatát, hogy a programot fokozottabban nyissák meg olyan szervezetek előtt, amelyeknek kevés vagy semmilyen tapasztalatuk sincs a pályázásban, és/vagy csekély operatív kapacitással rendelkeznek; ezért üdvözli a „kisléptékű partnerségek” egyedi tevékenység bevezetését;</w:t>
      </w:r>
    </w:p>
    <w:p w14:paraId="0ED659BC" w14:textId="77777777" w:rsidR="00E460B3" w:rsidRPr="00D36D33" w:rsidRDefault="00E460B3" w:rsidP="00555781">
      <w:pPr>
        <w:rPr>
          <w:rFonts w:eastAsia="Calibri"/>
          <w:lang w:val="de-DE"/>
        </w:rPr>
      </w:pPr>
    </w:p>
    <w:p w14:paraId="3FD053E6"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egyetért az Európai Bizottsággal abban, hogy a javasolt Erasmus program az EUMSZ 165. és 166. cikkében foglalt célkitűzésekre épül, és a szubszidiaritás elvével összhangban valósítandó meg. Nagy jelentősége van annak, hogy bevonják a helyi és regionális önkormányzatokat, a helyi és regionális közigazgatást és döntéshozókat a bemutatott tevékenységek megtervezésébe, végrehajtásába és irányításába, mivel ők közelebb vannak az érintettekhez, kulcskompetenciákkal rendelkeznek az oktatási és képzési politika terén, és fontos szerepet játszanak az ifjúság- és munkaerőpiaci politikában;</w:t>
      </w:r>
    </w:p>
    <w:p w14:paraId="503D2928" w14:textId="77777777" w:rsidR="00E460B3" w:rsidRPr="00D36D33" w:rsidRDefault="00E460B3" w:rsidP="00555781">
      <w:pPr>
        <w:rPr>
          <w:rFonts w:eastAsia="Calibri"/>
          <w:lang w:val="de-DE"/>
        </w:rPr>
      </w:pPr>
    </w:p>
    <w:p w14:paraId="362F78B2" w14:textId="016D57DC"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üdvözli, hogy kialakítják és támogatják különösen a mobilitási tevékenységeket, és javítják a részvételi lehetőségeket azon fiatalok számára, akik nem formális tanulási tevékenységekben és sporttevékenységekben vesznek részt; üdvözli azt is, hogy ebben az összefüggésben kifejezetten megemlítik a közhasznú tevékenységet végző személyzetet;</w:t>
      </w:r>
    </w:p>
    <w:p w14:paraId="5560D5A5" w14:textId="77777777" w:rsidR="00E460B3" w:rsidRPr="00D36D33" w:rsidRDefault="00E460B3" w:rsidP="00555781">
      <w:pPr>
        <w:rPr>
          <w:rFonts w:eastAsia="Calibri"/>
          <w:lang w:val="de-DE"/>
        </w:rPr>
      </w:pPr>
    </w:p>
    <w:p w14:paraId="56360BD8"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üdvözli, hogy az Európai Bizottság figyelembe vette az aktuális Erasmus+ program időközi értékelésének eredményeit, és megtartotta a korábbi program szerkezetét;</w:t>
      </w:r>
    </w:p>
    <w:p w14:paraId="7EF10D47" w14:textId="77777777" w:rsidR="00E460B3" w:rsidRPr="00D36D33" w:rsidRDefault="00E460B3" w:rsidP="00555781">
      <w:pPr>
        <w:rPr>
          <w:rFonts w:eastAsia="Calibri"/>
          <w:lang w:val="de-DE"/>
        </w:rPr>
      </w:pPr>
    </w:p>
    <w:p w14:paraId="72714CBC"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megállapítja, hogy rendelettervezet nagyon általános, és sok rugalmasságot biztosít a végrehajtás során; ebben az összefüggésben felhívja a figyelmet a végrehajtási rendelkezések jelentőségére, és felszólítja az Európai Bizottságot, hogy szorosan vonja be ezek kidolgozásába a tagállamokat, a nemzeti irodákat, az érdekelt feleket és a regionális szintet;</w:t>
      </w:r>
    </w:p>
    <w:p w14:paraId="0097640B" w14:textId="77777777" w:rsidR="00E460B3" w:rsidRPr="00D36D33" w:rsidRDefault="00E460B3" w:rsidP="00555781">
      <w:pPr>
        <w:rPr>
          <w:rFonts w:eastAsia="Calibri"/>
          <w:lang w:val="de-DE"/>
        </w:rPr>
      </w:pPr>
    </w:p>
    <w:p w14:paraId="7F99BE61"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sajnálja, hogy a program neve többé nem Erasmus+, hanem Erasmus. Mivel az Erasmus a „European Region Action Scheme for the Mobility of University Students” (az egyetemi hallgatói mobilitás európai regionális cselekvési rendszere) rövidítése, az RB felhívja a figyelmet arra, hogy megfelelő intézkedéseket kell hozni az egyes oktatási, illetve támogatási területek láthatóságának biztosítása érdekében, hogy az „Erasmus” jelölést minden oktatási területtel, valamint az oktatással és a sporttal is összekapcsolják;</w:t>
      </w:r>
    </w:p>
    <w:p w14:paraId="4AE5A83A" w14:textId="77777777" w:rsidR="00E460B3" w:rsidRPr="00D36D33" w:rsidRDefault="00E460B3" w:rsidP="00555781">
      <w:pPr>
        <w:rPr>
          <w:rFonts w:eastAsia="Calibri"/>
          <w:lang w:val="de-DE"/>
        </w:rPr>
      </w:pPr>
    </w:p>
    <w:p w14:paraId="482999A1" w14:textId="5AD033BD"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üdvözli, hogy a legtöbb mobilitási tevékenységet, beleértve a tanulói mobilitás valamennyi formáját is, a jövőben az 1. fő intézkedés (egyéni tanulási célú mobilitás) alatt foglalják össze;</w:t>
      </w:r>
    </w:p>
    <w:p w14:paraId="677395AE" w14:textId="77777777" w:rsidR="00E460B3" w:rsidRPr="00D36D33" w:rsidRDefault="00E460B3" w:rsidP="00555781">
      <w:pPr>
        <w:rPr>
          <w:rFonts w:eastAsia="Calibri"/>
          <w:lang w:val="de-DE"/>
        </w:rPr>
      </w:pPr>
    </w:p>
    <w:p w14:paraId="7EF7A235" w14:textId="005DC8EF"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 xml:space="preserve">amellett érvel, hogy az Egyesült Királyság számára előre meghatározott feltételek mellett az Európai Unióból való kilépése után is tegyék lehetővé a programban való részvételt, és üdvözli, hogy a társult harmadik országokkal foglalkozó 16. cikk (1) bekezdésének d) pontja megteremti ennek lehetőségét; </w:t>
      </w:r>
    </w:p>
    <w:p w14:paraId="58422CFF" w14:textId="77777777" w:rsidR="00E460B3" w:rsidRPr="00D36D33" w:rsidRDefault="00E460B3" w:rsidP="00555781">
      <w:pPr>
        <w:rPr>
          <w:rFonts w:eastAsia="Calibri"/>
          <w:lang w:val="de-DE"/>
        </w:rPr>
      </w:pPr>
    </w:p>
    <w:p w14:paraId="7D16BA98"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t>megfontolásra ajánlja, hogy a virtuális együttműködésnek ezzel a programmal megteremtett lehetőségeit fokozatosan nyissák meg olyan oktatási projektek előtt, amelyekben a földközi-tengeri szomszédos országokban és Afrikában lévő intézmények vesznek részt;</w:t>
      </w:r>
    </w:p>
    <w:p w14:paraId="7DC504FB" w14:textId="77777777" w:rsidR="00E460B3" w:rsidRPr="00D36D33" w:rsidRDefault="00E460B3" w:rsidP="00555781">
      <w:pPr>
        <w:rPr>
          <w:rFonts w:eastAsia="Calibri"/>
          <w:lang w:val="de-DE"/>
        </w:rPr>
      </w:pPr>
    </w:p>
    <w:p w14:paraId="6C015646" w14:textId="4628CC9A" w:rsidR="00E460B3" w:rsidRPr="00D36D33" w:rsidRDefault="00E460B3" w:rsidP="00555781">
      <w:pPr>
        <w:pStyle w:val="ListParagraph"/>
        <w:numPr>
          <w:ilvl w:val="0"/>
          <w:numId w:val="23"/>
        </w:numPr>
        <w:suppressAutoHyphens/>
        <w:overflowPunct w:val="0"/>
        <w:autoSpaceDE w:val="0"/>
        <w:autoSpaceDN w:val="0"/>
        <w:ind w:left="567" w:hanging="567"/>
        <w:textAlignment w:val="baseline"/>
        <w:rPr>
          <w:rFonts w:eastAsia="Calibri"/>
        </w:rPr>
      </w:pPr>
      <w:r>
        <w:lastRenderedPageBreak/>
        <w:t>azt ajánlja, hogy a tanulási mobilitás valamennyi formája esetében nyújtsanak hatékony ösztönzőket a környezetbarát közlekedési eszközök használatára, hogy betartsák azt az előírást, amely szerint az uniós kiadások 25%-ának az éghajlat-politikai célok megvalósításához kell hozzájárulnia;</w:t>
      </w:r>
    </w:p>
    <w:p w14:paraId="0A5D02EE" w14:textId="77777777" w:rsidR="00E460B3" w:rsidRPr="00D36D33" w:rsidRDefault="00E460B3" w:rsidP="00555781">
      <w:pPr>
        <w:rPr>
          <w:rFonts w:eastAsia="Calibri"/>
          <w:lang w:val="de-DE"/>
        </w:rPr>
      </w:pPr>
    </w:p>
    <w:p w14:paraId="0A579B6B"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az oktatás és képzés területén a decentralizáltan irányított „stratégiai partnerségek” fenntartása és erősítése mellett emel szót, mivel ez az együttműködési forma bevált, az „együttműködési partnerségek” újonnan bevezetett fogalma pedig kevésbé ambiciózusnak hat;</w:t>
      </w:r>
    </w:p>
    <w:p w14:paraId="2D460D99" w14:textId="77777777" w:rsidR="00E460B3" w:rsidRPr="00D36D33" w:rsidRDefault="00E460B3" w:rsidP="00555781">
      <w:pPr>
        <w:rPr>
          <w:lang w:val="de-DE"/>
        </w:rPr>
      </w:pPr>
    </w:p>
    <w:p w14:paraId="5DF1FF35" w14:textId="77777777" w:rsidR="00E460B3" w:rsidRPr="00D36D33" w:rsidRDefault="00E460B3" w:rsidP="00527A72">
      <w:pPr>
        <w:pStyle w:val="ListParagraph"/>
        <w:keepLines/>
        <w:numPr>
          <w:ilvl w:val="0"/>
          <w:numId w:val="23"/>
        </w:numPr>
        <w:suppressAutoHyphens/>
        <w:overflowPunct w:val="0"/>
        <w:autoSpaceDE w:val="0"/>
        <w:autoSpaceDN w:val="0"/>
        <w:ind w:left="567" w:hanging="567"/>
        <w:textAlignment w:val="baseline"/>
        <w:rPr>
          <w:rFonts w:eastAsia="Calibri"/>
        </w:rPr>
      </w:pPr>
      <w:r>
        <w:t>hangsúlyozza, hogy különösen érdekelt az e témában az Európai Bizottsággal folytatott szakmai párbeszéd folytatásában, és kiemeli ebben az összefüggésben a hatásvizsgálati jelentés jelentőségét, amelyet az Európai Bizottság az RB-vel kötött együttműködési megállapodás alapján megfelelő időben előterjeszt majd;</w:t>
      </w:r>
    </w:p>
    <w:p w14:paraId="738475B4" w14:textId="77777777" w:rsidR="00E460B3" w:rsidRPr="00D36D33" w:rsidRDefault="00E460B3" w:rsidP="00555781">
      <w:pPr>
        <w:rPr>
          <w:rFonts w:eastAsia="Calibri"/>
          <w:lang w:val="de-DE"/>
        </w:rPr>
      </w:pPr>
    </w:p>
    <w:p w14:paraId="27D87BF5" w14:textId="28F22DA7" w:rsidR="00E460B3" w:rsidRPr="00D36D33" w:rsidRDefault="00752745" w:rsidP="00555781">
      <w:pPr>
        <w:contextualSpacing/>
        <w:rPr>
          <w:rFonts w:eastAsia="Calibri"/>
        </w:rPr>
      </w:pPr>
      <w:r>
        <w:t>Képzés és oktatás</w:t>
      </w:r>
    </w:p>
    <w:p w14:paraId="3BA47367" w14:textId="77777777" w:rsidR="00E460B3" w:rsidRPr="00D36D33" w:rsidRDefault="00E460B3" w:rsidP="00555781">
      <w:pPr>
        <w:contextualSpacing/>
        <w:rPr>
          <w:lang w:val="de-DE"/>
        </w:rPr>
      </w:pPr>
    </w:p>
    <w:p w14:paraId="37182877" w14:textId="5D4A5AA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sajnálja, hogy az üzemek továbbra is csak csekély mértékben hajlandóak más országokba kiküldeni a tanulószerződéses tanulókat. Ösztönzőket kell nyújtani ezen a területen, a gazdasági szereplők, például az ipari és kereskedelmi kamarák és a képző üzemek körében pedig erőteljesebb kampányt kell folytatni emellett, különösen regionális és helyi szinten;</w:t>
      </w:r>
    </w:p>
    <w:p w14:paraId="2EEBF762" w14:textId="77777777" w:rsidR="00E460B3" w:rsidRPr="00D36D33" w:rsidRDefault="00E460B3" w:rsidP="00555781">
      <w:pPr>
        <w:rPr>
          <w:lang w:val="de-DE"/>
        </w:rPr>
      </w:pPr>
    </w:p>
    <w:p w14:paraId="34D53B7E"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szorgalmazza, hogy gondolkodjanak el az „európai üzemek” kitüntetésének bevezetésén, erőteljesebben motiválva ezzel az üzemeket és a vállalkozásokat arra, hogy fogékonyabbá tegyék a tanulószerződéses tanulóikat és azok képzését „Európára”;</w:t>
      </w:r>
    </w:p>
    <w:p w14:paraId="2D7E3096" w14:textId="77777777" w:rsidR="00E460B3" w:rsidRPr="00D36D33" w:rsidRDefault="00E460B3" w:rsidP="00555781">
      <w:pPr>
        <w:rPr>
          <w:lang w:val="de-DE"/>
        </w:rPr>
      </w:pPr>
    </w:p>
    <w:p w14:paraId="73581794"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a szakképzés területén szorgalmazza a rövid és hosszabb külföldi tartózkodások támogatását, hogy megfeleljenek a kkv-kkal szemben támasztott üzemi követelményeknek, de a résztvevők egyéni lehetőségeinek is. Emellett a programnak támogatnia kell a tanulószerződéses tanulóknak szóló nyelvi és interkulturális előkészítő tevékenységeket, amelynek keretében szisztematikusan nyomon követik a tanulási folyamatot;</w:t>
      </w:r>
    </w:p>
    <w:p w14:paraId="5D1AB6FE" w14:textId="77777777" w:rsidR="00E460B3" w:rsidRPr="00D36D33" w:rsidRDefault="00E460B3" w:rsidP="00555781">
      <w:pPr>
        <w:rPr>
          <w:lang w:val="de-DE"/>
        </w:rPr>
      </w:pPr>
    </w:p>
    <w:p w14:paraId="158D7B8F"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felhívja a figyelmet arra, hogy a felnőttképzés célcsoportjába életkortól és szociális háttértől függetlenül minden felnőtt beletartozik, nem csak azok, akik alacsony (formális) képesítésekkel rendelkeznek;</w:t>
      </w:r>
    </w:p>
    <w:p w14:paraId="64EB1992" w14:textId="77777777" w:rsidR="00E460B3" w:rsidRPr="00D36D33" w:rsidRDefault="00E460B3" w:rsidP="00555781">
      <w:pPr>
        <w:rPr>
          <w:lang w:val="de-DE"/>
        </w:rPr>
      </w:pPr>
    </w:p>
    <w:p w14:paraId="6FC9DAEA"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emellett rámutat arra, hogy a „felnőttképzést” az oktatás átfogó értelmezése szerint kell támogatni, és nem szabad leszűkíteni a „szakmai továbbképzésre”. A felnőttképzésben figyelembe kell venni a szellemi szabadfoglalkozású és közhasznú tevékenységeket végző munkatársakat;</w:t>
      </w:r>
    </w:p>
    <w:p w14:paraId="2A40D413" w14:textId="77777777" w:rsidR="00E460B3" w:rsidRPr="00D36D33" w:rsidRDefault="00E460B3" w:rsidP="00555781">
      <w:pPr>
        <w:rPr>
          <w:lang w:val="de-DE"/>
        </w:rPr>
      </w:pPr>
    </w:p>
    <w:p w14:paraId="2DE0252A"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üdvözli, hogy az iskolai oktatás területén kiterjesztik a tanulási célú mobilitást, és lehetőséget biztosítanak különösen az egyéni mobilitásra;</w:t>
      </w:r>
    </w:p>
    <w:p w14:paraId="1414B52C" w14:textId="77777777" w:rsidR="00E460B3" w:rsidRPr="00D36D33" w:rsidRDefault="00E460B3" w:rsidP="00555781">
      <w:pPr>
        <w:rPr>
          <w:lang w:val="de-DE"/>
        </w:rPr>
      </w:pPr>
    </w:p>
    <w:p w14:paraId="0AFE9427"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 xml:space="preserve">üdvözli az „európai egyetemek hálózatának” bevezetését, ugyanakkor rámutat arra, hogy ezzel kapcsolatban hosszú távon meg fognak nőni a költségvetési kiadások; hangsúlyozza, hogy kezdeményezni kell és fenn kell tartani az egyetemek európai hálózatait, valamint ezeknek </w:t>
      </w:r>
      <w:r>
        <w:lastRenderedPageBreak/>
        <w:t>hangsúlyos szerepet kell kapniuk annak érdekében, hogy a tudásháromszögön keresztül (oktatás, kutatás, innováció) tartósan megerősítsék az európai egyetemei környezetet;</w:t>
      </w:r>
    </w:p>
    <w:p w14:paraId="79770B68" w14:textId="77777777" w:rsidR="00E460B3" w:rsidRPr="00D36D33" w:rsidRDefault="00E460B3" w:rsidP="00555781">
      <w:pPr>
        <w:rPr>
          <w:lang w:val="de-DE"/>
        </w:rPr>
      </w:pPr>
    </w:p>
    <w:p w14:paraId="6386521D"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üdvözli, hogy a felsőoktatást célzó Jean Monnet akciót kiterjesztik az oktatás és képzés más területeire is, és ezzel szélesebb közönség számára közvetítenek ismereteket az uniós integráció kérdéséről;</w:t>
      </w:r>
    </w:p>
    <w:p w14:paraId="66FD9E59" w14:textId="77777777" w:rsidR="00E460B3" w:rsidRPr="00D36D33" w:rsidRDefault="00E460B3" w:rsidP="00555781">
      <w:pPr>
        <w:rPr>
          <w:lang w:val="de-DE"/>
        </w:rPr>
      </w:pPr>
    </w:p>
    <w:p w14:paraId="33091A59" w14:textId="77777777" w:rsidR="00E460B3" w:rsidRPr="00D36D33" w:rsidRDefault="00E460B3" w:rsidP="00527A72">
      <w:pPr>
        <w:keepNext/>
        <w:contextualSpacing/>
        <w:rPr>
          <w:rFonts w:eastAsia="Calibri"/>
        </w:rPr>
      </w:pPr>
      <w:r>
        <w:t>Ifjúság</w:t>
      </w:r>
    </w:p>
    <w:p w14:paraId="2AB0A90E" w14:textId="77777777" w:rsidR="00E460B3" w:rsidRPr="00D36D33" w:rsidRDefault="00E460B3" w:rsidP="00527A72">
      <w:pPr>
        <w:keepNext/>
        <w:contextualSpacing/>
        <w:rPr>
          <w:lang w:val="de-DE"/>
        </w:rPr>
      </w:pPr>
    </w:p>
    <w:p w14:paraId="7F448CD0" w14:textId="7777777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azt javasolja, hogy pályázóként nagyobb mértékben vegyék figyelembe a már létező helyi és regionális ifjúsági foglalkoztatási intézményeket;</w:t>
      </w:r>
    </w:p>
    <w:p w14:paraId="56524711" w14:textId="77777777" w:rsidR="00E460B3" w:rsidRPr="00D36D33" w:rsidRDefault="00E460B3" w:rsidP="00555781">
      <w:pPr>
        <w:rPr>
          <w:lang w:val="de-DE"/>
        </w:rPr>
      </w:pPr>
    </w:p>
    <w:p w14:paraId="03DB0885" w14:textId="1614AEC0"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üdvözli a DiscoverEU programot, amely 18 év feletti fiataloknak lehetőséget ad arra, hogy egy meghatározott időtartamon belül vonattal felfedezzék az EU országait; rámutat azonban arra, hogy ez nem történhet a tanulási és munkavállalási célú tartózkodások terhére; kívánatosnak tartja, hogy a szülők pénztárcájától függetlenül az Unióban minden fiatal kihasználhassa ezt a lehetőséget a találkozásra, valamint a sokszínűség, a kultúra, a természet és az emberek megismerésére; szorgalmazza, hogy gondolkozzanak el azon a lehetőségen, hogy a köz- és magánszféra közötti partnerségek keretében nyújtsanak finanszírozást, különösen a mobilitási és idegenforgalmi ágazatból;</w:t>
      </w:r>
    </w:p>
    <w:p w14:paraId="2D7D2DDF" w14:textId="77777777" w:rsidR="00E460B3" w:rsidRPr="00D36D33" w:rsidRDefault="00E460B3" w:rsidP="00555781">
      <w:pPr>
        <w:rPr>
          <w:lang w:val="de-DE"/>
        </w:rPr>
      </w:pPr>
    </w:p>
    <w:p w14:paraId="04E27AA9" w14:textId="67BF1FF7"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üdvözli, hogy megteremtették az összhangot az Unió új ifjúsági stratégiájával és más ifjúsági kezdeményezéseivel, például az Európai Szolidaritási Testülettel;</w:t>
      </w:r>
    </w:p>
    <w:p w14:paraId="36557D8F" w14:textId="77777777" w:rsidR="00E460B3" w:rsidRPr="00D36D33" w:rsidRDefault="00E460B3" w:rsidP="00555781">
      <w:pPr>
        <w:rPr>
          <w:lang w:val="de-DE"/>
        </w:rPr>
      </w:pPr>
    </w:p>
    <w:p w14:paraId="7F885C8A" w14:textId="77777777" w:rsidR="00E460B3" w:rsidRPr="00D36D33" w:rsidRDefault="00E460B3" w:rsidP="00555781">
      <w:pPr>
        <w:contextualSpacing/>
        <w:rPr>
          <w:rFonts w:eastAsia="Calibri"/>
        </w:rPr>
      </w:pPr>
      <w:r>
        <w:t>Sport</w:t>
      </w:r>
    </w:p>
    <w:p w14:paraId="08BE9D9C" w14:textId="77777777" w:rsidR="00E460B3" w:rsidRPr="00D36D33" w:rsidRDefault="00E460B3" w:rsidP="00555781">
      <w:pPr>
        <w:contextualSpacing/>
        <w:rPr>
          <w:lang w:val="de-DE"/>
        </w:rPr>
      </w:pPr>
    </w:p>
    <w:p w14:paraId="2D530E59" w14:textId="121EE416" w:rsidR="00E460B3" w:rsidRPr="00D36D33" w:rsidRDefault="00E460B3" w:rsidP="00555781">
      <w:pPr>
        <w:pStyle w:val="ListParagraph"/>
        <w:numPr>
          <w:ilvl w:val="0"/>
          <w:numId w:val="23"/>
        </w:numPr>
        <w:suppressAutoHyphens/>
        <w:overflowPunct w:val="0"/>
        <w:autoSpaceDE w:val="0"/>
        <w:autoSpaceDN w:val="0"/>
        <w:ind w:left="567" w:hanging="567"/>
        <w:textAlignment w:val="baseline"/>
      </w:pPr>
      <w:r>
        <w:t>rámutat a közhasznú sportrendezvények különös jelentőségére, és célravezetőnek tartja, hogy megszüntessék azt a felső határt, amely szerint a sportköltségvetés 10 százalékát lehet sportrendezvényekre felhasználni; amellett érvel, hogy a jövőben a kisebb, kevesebb mint 10 programország részvételével tartott rendezvényeket is támogassák;</w:t>
      </w:r>
    </w:p>
    <w:p w14:paraId="7A941D9A" w14:textId="77777777" w:rsidR="00756275" w:rsidRPr="00D36D33" w:rsidRDefault="00756275" w:rsidP="00555781">
      <w:pPr>
        <w:rPr>
          <w:lang w:val="de-DE"/>
        </w:rPr>
      </w:pPr>
    </w:p>
    <w:p w14:paraId="2EB069C3" w14:textId="4620C96D" w:rsidR="00E460B3" w:rsidRPr="00D36D33" w:rsidRDefault="00E460B3" w:rsidP="00527A72">
      <w:pPr>
        <w:pStyle w:val="ListParagraph"/>
        <w:numPr>
          <w:ilvl w:val="0"/>
          <w:numId w:val="23"/>
        </w:numPr>
        <w:suppressAutoHyphens/>
        <w:overflowPunct w:val="0"/>
        <w:autoSpaceDE w:val="0"/>
        <w:autoSpaceDN w:val="0"/>
        <w:ind w:left="567" w:hanging="567"/>
        <w:textAlignment w:val="baseline"/>
      </w:pPr>
      <w:r>
        <w:t>amellett áll ki, hogy különösen a tömegsportok esetében jelentősen növeljék a programországok számát, mivel az európai sport hagyományosan messze túllép az Európai Unió határain.</w:t>
      </w:r>
    </w:p>
    <w:p w14:paraId="3F2914F6" w14:textId="77777777" w:rsidR="00257ED5" w:rsidRPr="00D36D33" w:rsidRDefault="00257ED5" w:rsidP="00555781">
      <w:pPr>
        <w:rPr>
          <w:lang w:val="de-DE"/>
        </w:rPr>
      </w:pPr>
    </w:p>
    <w:p w14:paraId="10C77386" w14:textId="77777777" w:rsidR="00076622" w:rsidRPr="00D36D33" w:rsidRDefault="00076622" w:rsidP="00555781">
      <w:r>
        <w:t xml:space="preserve">Kelt Brüsszelben, 20xx. ... xx-án/-én. </w:t>
      </w:r>
    </w:p>
    <w:p w14:paraId="10C77387" w14:textId="77777777" w:rsidR="00076622" w:rsidRPr="00D36D33" w:rsidRDefault="00076622" w:rsidP="00555781">
      <w:pPr>
        <w:rPr>
          <w:lang w:val="de-DE"/>
        </w:rPr>
      </w:pPr>
    </w:p>
    <w:p w14:paraId="10C77388" w14:textId="77777777" w:rsidR="00076622" w:rsidRPr="00D36D33" w:rsidRDefault="00076622" w:rsidP="00555781">
      <w:pPr>
        <w:keepNext/>
        <w:numPr>
          <w:ilvl w:val="0"/>
          <w:numId w:val="22"/>
        </w:numPr>
        <w:ind w:left="567" w:hanging="567"/>
        <w:rPr>
          <w:b/>
          <w:bCs/>
        </w:rPr>
      </w:pPr>
      <w:r>
        <w:br w:type="page"/>
      </w:r>
      <w:r>
        <w:rPr>
          <w:b/>
          <w:bCs/>
        </w:rPr>
        <w:lastRenderedPageBreak/>
        <w:t>ELJÁRÁS</w:t>
      </w:r>
    </w:p>
    <w:p w14:paraId="10C77389" w14:textId="77777777" w:rsidR="00076622" w:rsidRPr="00D36D33" w:rsidRDefault="00076622" w:rsidP="00555781">
      <w:pPr>
        <w:rPr>
          <w:lang w:val="de-DE"/>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5391"/>
      </w:tblGrid>
      <w:tr w:rsidR="0082322E" w:rsidRPr="00D36D33" w14:paraId="35B2AB4C"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56FF838E" w14:textId="72DC4598" w:rsidR="0082322E" w:rsidRPr="00D36D33" w:rsidRDefault="00E97372" w:rsidP="00555781">
            <w:pPr>
              <w:contextualSpacing/>
              <w:rPr>
                <w:b/>
                <w:bCs/>
              </w:rPr>
            </w:pPr>
            <w:r>
              <w:rPr>
                <w:b/>
              </w:rPr>
              <w:t>Cím:</w:t>
            </w:r>
          </w:p>
        </w:tc>
        <w:tc>
          <w:tcPr>
            <w:tcW w:w="5390" w:type="dxa"/>
            <w:tcBorders>
              <w:top w:val="single" w:sz="4" w:space="0" w:color="auto"/>
              <w:left w:val="single" w:sz="4" w:space="0" w:color="auto"/>
              <w:bottom w:val="single" w:sz="4" w:space="0" w:color="auto"/>
              <w:right w:val="single" w:sz="4" w:space="0" w:color="auto"/>
            </w:tcBorders>
            <w:noWrap/>
            <w:hideMark/>
          </w:tcPr>
          <w:p w14:paraId="2366B175" w14:textId="0766C0BF" w:rsidR="0082322E" w:rsidRPr="00D36D33" w:rsidRDefault="00E97372" w:rsidP="00555781">
            <w:pPr>
              <w:contextualSpacing/>
            </w:pPr>
            <w:r>
              <w:rPr>
                <w:b/>
              </w:rPr>
              <w:t>Erasmus – Oktatási, képzési, ifjúsági és sportprogram</w:t>
            </w:r>
          </w:p>
        </w:tc>
      </w:tr>
      <w:tr w:rsidR="0082322E" w:rsidRPr="00D36D33" w14:paraId="6F167D5E"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22625BA0" w14:textId="0BFD21DA" w:rsidR="0082322E" w:rsidRPr="00D36D33" w:rsidRDefault="00E97372" w:rsidP="00555781">
            <w:pPr>
              <w:contextualSpacing/>
              <w:rPr>
                <w:b/>
                <w:bCs/>
              </w:rPr>
            </w:pPr>
            <w:r>
              <w:rPr>
                <w:b/>
                <w:bCs/>
              </w:rPr>
              <w:t>Hivatkozás:</w:t>
            </w:r>
          </w:p>
        </w:tc>
        <w:tc>
          <w:tcPr>
            <w:tcW w:w="5390" w:type="dxa"/>
            <w:tcBorders>
              <w:top w:val="single" w:sz="4" w:space="0" w:color="auto"/>
              <w:left w:val="single" w:sz="4" w:space="0" w:color="auto"/>
              <w:bottom w:val="single" w:sz="4" w:space="0" w:color="auto"/>
              <w:right w:val="single" w:sz="4" w:space="0" w:color="auto"/>
            </w:tcBorders>
            <w:noWrap/>
            <w:hideMark/>
          </w:tcPr>
          <w:p w14:paraId="3261DADF" w14:textId="77777777" w:rsidR="0082322E" w:rsidRPr="00D36D33" w:rsidRDefault="0082322E" w:rsidP="00555781">
            <w:pPr>
              <w:contextualSpacing/>
            </w:pPr>
            <w:r>
              <w:t>COM(2018) 367 final</w:t>
            </w:r>
          </w:p>
        </w:tc>
      </w:tr>
      <w:tr w:rsidR="0082322E" w:rsidRPr="00D36D33" w14:paraId="5B17FF5E"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4CD46F9E" w14:textId="09086018" w:rsidR="0082322E" w:rsidRPr="00D36D33" w:rsidRDefault="00E97372" w:rsidP="00555781">
            <w:pPr>
              <w:contextualSpacing/>
              <w:rPr>
                <w:b/>
                <w:bCs/>
              </w:rPr>
            </w:pPr>
            <w:r>
              <w:rPr>
                <w:b/>
                <w:bCs/>
              </w:rPr>
              <w:t>Jogalap:</w:t>
            </w:r>
          </w:p>
        </w:tc>
        <w:tc>
          <w:tcPr>
            <w:tcW w:w="5390" w:type="dxa"/>
            <w:tcBorders>
              <w:top w:val="single" w:sz="4" w:space="0" w:color="auto"/>
              <w:left w:val="single" w:sz="4" w:space="0" w:color="auto"/>
              <w:bottom w:val="single" w:sz="4" w:space="0" w:color="auto"/>
              <w:right w:val="single" w:sz="4" w:space="0" w:color="auto"/>
            </w:tcBorders>
            <w:noWrap/>
            <w:hideMark/>
          </w:tcPr>
          <w:p w14:paraId="0CCACC9B" w14:textId="6C4FE1EC" w:rsidR="0082322E" w:rsidRPr="00D36D33" w:rsidRDefault="000B7357" w:rsidP="00555781">
            <w:pPr>
              <w:contextualSpacing/>
            </w:pPr>
            <w:r>
              <w:t>az EUMSZ 165. és 166. cikke</w:t>
            </w:r>
          </w:p>
        </w:tc>
      </w:tr>
      <w:tr w:rsidR="0082322E" w:rsidRPr="00D36D33" w14:paraId="1785E858"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42ACA7AB" w14:textId="4F9AFCE4" w:rsidR="0082322E" w:rsidRPr="00D36D33" w:rsidRDefault="00E97372" w:rsidP="00555781">
            <w:pPr>
              <w:contextualSpacing/>
              <w:rPr>
                <w:b/>
                <w:bCs/>
              </w:rPr>
            </w:pPr>
            <w:r>
              <w:rPr>
                <w:b/>
                <w:bCs/>
              </w:rPr>
              <w:t>Eljárási szabályzat:</w:t>
            </w:r>
            <w:r>
              <w:rPr>
                <w:b/>
              </w:rPr>
              <w:t xml:space="preserve"> </w:t>
            </w:r>
          </w:p>
        </w:tc>
        <w:tc>
          <w:tcPr>
            <w:tcW w:w="5390" w:type="dxa"/>
            <w:tcBorders>
              <w:top w:val="single" w:sz="4" w:space="0" w:color="auto"/>
              <w:left w:val="single" w:sz="4" w:space="0" w:color="auto"/>
              <w:bottom w:val="single" w:sz="4" w:space="0" w:color="auto"/>
              <w:right w:val="single" w:sz="4" w:space="0" w:color="auto"/>
            </w:tcBorders>
            <w:noWrap/>
            <w:hideMark/>
          </w:tcPr>
          <w:p w14:paraId="74A921E3" w14:textId="07E48EB9" w:rsidR="0082322E" w:rsidRPr="00D36D33" w:rsidRDefault="0095447D" w:rsidP="00555781">
            <w:pPr>
              <w:contextualSpacing/>
            </w:pPr>
            <w:r>
              <w:t>Kötelező felkérés (Esz. 41. cikk a) pont)</w:t>
            </w:r>
          </w:p>
        </w:tc>
      </w:tr>
      <w:tr w:rsidR="0082322E" w:rsidRPr="00D36D33" w14:paraId="748E614B" w14:textId="77777777" w:rsidTr="00F83EAE">
        <w:tc>
          <w:tcPr>
            <w:tcW w:w="3848" w:type="dxa"/>
            <w:tcBorders>
              <w:top w:val="single" w:sz="4" w:space="0" w:color="auto"/>
              <w:left w:val="single" w:sz="4" w:space="0" w:color="auto"/>
              <w:bottom w:val="single" w:sz="4" w:space="0" w:color="auto"/>
              <w:right w:val="single" w:sz="4" w:space="0" w:color="auto"/>
            </w:tcBorders>
            <w:hideMark/>
          </w:tcPr>
          <w:p w14:paraId="072F3A95" w14:textId="66440527" w:rsidR="0082322E" w:rsidRPr="00D36D33" w:rsidRDefault="00E97372" w:rsidP="00555781">
            <w:pPr>
              <w:contextualSpacing/>
              <w:rPr>
                <w:b/>
              </w:rPr>
            </w:pPr>
            <w:r>
              <w:rPr>
                <w:b/>
                <w:bCs/>
              </w:rPr>
              <w:t>Az Európai Bizottság levelének kelte:</w:t>
            </w:r>
          </w:p>
        </w:tc>
        <w:tc>
          <w:tcPr>
            <w:tcW w:w="5390" w:type="dxa"/>
            <w:tcBorders>
              <w:top w:val="single" w:sz="4" w:space="0" w:color="auto"/>
              <w:left w:val="single" w:sz="4" w:space="0" w:color="auto"/>
              <w:bottom w:val="single" w:sz="4" w:space="0" w:color="auto"/>
              <w:right w:val="single" w:sz="4" w:space="0" w:color="auto"/>
            </w:tcBorders>
            <w:noWrap/>
            <w:hideMark/>
          </w:tcPr>
          <w:p w14:paraId="39E72BF6" w14:textId="5A86A0FA" w:rsidR="0082322E" w:rsidRPr="00D36D33" w:rsidRDefault="0082322E" w:rsidP="00555781">
            <w:pPr>
              <w:contextualSpacing/>
            </w:pPr>
            <w:r>
              <w:t>2018. május 30.</w:t>
            </w:r>
          </w:p>
        </w:tc>
      </w:tr>
      <w:tr w:rsidR="0082322E" w:rsidRPr="00D36D33" w14:paraId="421BB0A5" w14:textId="77777777" w:rsidTr="00F83EAE">
        <w:tc>
          <w:tcPr>
            <w:tcW w:w="3848" w:type="dxa"/>
            <w:tcBorders>
              <w:top w:val="single" w:sz="4" w:space="0" w:color="auto"/>
              <w:left w:val="single" w:sz="4" w:space="0" w:color="auto"/>
              <w:bottom w:val="single" w:sz="4" w:space="0" w:color="auto"/>
              <w:right w:val="single" w:sz="4" w:space="0" w:color="auto"/>
            </w:tcBorders>
            <w:hideMark/>
          </w:tcPr>
          <w:p w14:paraId="15376DCA" w14:textId="6B0AABD2" w:rsidR="0082322E" w:rsidRPr="00D36D33" w:rsidRDefault="00E97372" w:rsidP="00555781">
            <w:pPr>
              <w:contextualSpacing/>
              <w:rPr>
                <w:b/>
              </w:rPr>
            </w:pPr>
            <w:r>
              <w:rPr>
                <w:b/>
                <w:bCs/>
              </w:rPr>
              <w:t>Elnökségi/Elnöki határozat kelte:</w:t>
            </w:r>
          </w:p>
        </w:tc>
        <w:tc>
          <w:tcPr>
            <w:tcW w:w="5390" w:type="dxa"/>
            <w:tcBorders>
              <w:top w:val="single" w:sz="4" w:space="0" w:color="auto"/>
              <w:left w:val="single" w:sz="4" w:space="0" w:color="auto"/>
              <w:bottom w:val="single" w:sz="4" w:space="0" w:color="auto"/>
              <w:right w:val="single" w:sz="4" w:space="0" w:color="auto"/>
            </w:tcBorders>
            <w:noWrap/>
          </w:tcPr>
          <w:p w14:paraId="0A7B954F" w14:textId="77777777" w:rsidR="0082322E" w:rsidRPr="00D36D33" w:rsidRDefault="0082322E" w:rsidP="00555781">
            <w:pPr>
              <w:contextualSpacing/>
              <w:rPr>
                <w:lang w:val="de-DE"/>
              </w:rPr>
            </w:pPr>
          </w:p>
        </w:tc>
      </w:tr>
      <w:tr w:rsidR="0082322E" w:rsidRPr="00D36D33" w14:paraId="614C9A47"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3B548594" w14:textId="136E74CD" w:rsidR="0082322E" w:rsidRPr="00D36D33" w:rsidRDefault="00E97372" w:rsidP="00555781">
            <w:pPr>
              <w:contextualSpacing/>
              <w:rPr>
                <w:b/>
                <w:bCs/>
              </w:rPr>
            </w:pPr>
            <w:r>
              <w:rPr>
                <w:b/>
                <w:bCs/>
              </w:rPr>
              <w:t>Illetékes szakbizottság:</w:t>
            </w:r>
            <w:r>
              <w:rPr>
                <w:b/>
              </w:rPr>
              <w:t xml:space="preserve"> </w:t>
            </w:r>
          </w:p>
        </w:tc>
        <w:tc>
          <w:tcPr>
            <w:tcW w:w="5390" w:type="dxa"/>
            <w:tcBorders>
              <w:top w:val="single" w:sz="4" w:space="0" w:color="auto"/>
              <w:left w:val="single" w:sz="4" w:space="0" w:color="auto"/>
              <w:bottom w:val="single" w:sz="4" w:space="0" w:color="auto"/>
              <w:right w:val="single" w:sz="4" w:space="0" w:color="auto"/>
            </w:tcBorders>
            <w:noWrap/>
            <w:hideMark/>
          </w:tcPr>
          <w:p w14:paraId="34955E3A" w14:textId="0F83AA54" w:rsidR="0082322E" w:rsidRPr="00D36D33" w:rsidRDefault="00875983" w:rsidP="00555781">
            <w:pPr>
              <w:contextualSpacing/>
            </w:pPr>
            <w:r>
              <w:t>„Szociálpolitika, oktatás, foglalkoztatás, kutatás és kultúra” (SEDEC) szakbizottság</w:t>
            </w:r>
          </w:p>
        </w:tc>
      </w:tr>
      <w:tr w:rsidR="0082322E" w:rsidRPr="00D36D33" w14:paraId="7EE71AE9"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52C7935F" w14:textId="492A016D" w:rsidR="0082322E" w:rsidRPr="00D36D33" w:rsidRDefault="00E97372" w:rsidP="00555781">
            <w:pPr>
              <w:contextualSpacing/>
              <w:rPr>
                <w:b/>
                <w:bCs/>
              </w:rPr>
            </w:pPr>
            <w:r>
              <w:rPr>
                <w:b/>
              </w:rPr>
              <w:t>Előadó:</w:t>
            </w:r>
          </w:p>
        </w:tc>
        <w:tc>
          <w:tcPr>
            <w:tcW w:w="5390" w:type="dxa"/>
            <w:tcBorders>
              <w:top w:val="single" w:sz="4" w:space="0" w:color="auto"/>
              <w:left w:val="single" w:sz="4" w:space="0" w:color="auto"/>
              <w:bottom w:val="single" w:sz="4" w:space="0" w:color="auto"/>
              <w:right w:val="single" w:sz="4" w:space="0" w:color="auto"/>
            </w:tcBorders>
            <w:noWrap/>
            <w:hideMark/>
          </w:tcPr>
          <w:p w14:paraId="4D6D8DD6" w14:textId="6B85932E" w:rsidR="0082322E" w:rsidRPr="00D36D33" w:rsidRDefault="0082322E" w:rsidP="00555781">
            <w:pPr>
              <w:contextualSpacing/>
            </w:pPr>
            <w:r>
              <w:t>Ulrike Hiller (DE/PES)</w:t>
            </w:r>
          </w:p>
        </w:tc>
      </w:tr>
      <w:tr w:rsidR="0082322E" w:rsidRPr="00D36D33" w14:paraId="5EA2D03A"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03006A7D" w14:textId="7E6C2AB7" w:rsidR="0082322E" w:rsidRPr="00D36D33" w:rsidRDefault="00E97372" w:rsidP="00555781">
            <w:pPr>
              <w:contextualSpacing/>
              <w:rPr>
                <w:b/>
                <w:bCs/>
              </w:rPr>
            </w:pPr>
            <w:r>
              <w:rPr>
                <w:b/>
                <w:bCs/>
              </w:rPr>
              <w:t>Elemző feljegyzés:</w:t>
            </w:r>
          </w:p>
        </w:tc>
        <w:tc>
          <w:tcPr>
            <w:tcW w:w="5390" w:type="dxa"/>
            <w:tcBorders>
              <w:top w:val="single" w:sz="4" w:space="0" w:color="auto"/>
              <w:left w:val="single" w:sz="4" w:space="0" w:color="auto"/>
              <w:bottom w:val="single" w:sz="4" w:space="0" w:color="auto"/>
              <w:right w:val="single" w:sz="4" w:space="0" w:color="auto"/>
            </w:tcBorders>
            <w:noWrap/>
            <w:hideMark/>
          </w:tcPr>
          <w:p w14:paraId="4201EB0B" w14:textId="16AFBAF9" w:rsidR="0082322E" w:rsidRPr="00D36D33" w:rsidRDefault="0082322E" w:rsidP="00555781">
            <w:pPr>
              <w:contextualSpacing/>
            </w:pPr>
            <w:r>
              <w:t>2018. július 16.</w:t>
            </w:r>
          </w:p>
        </w:tc>
      </w:tr>
      <w:tr w:rsidR="0082322E" w:rsidRPr="00D36D33" w14:paraId="5B24AAAC"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271B19A3" w14:textId="6EA4AC1C" w:rsidR="0082322E" w:rsidRPr="00D36D33" w:rsidRDefault="003A7754" w:rsidP="00555781">
            <w:pPr>
              <w:contextualSpacing/>
              <w:rPr>
                <w:b/>
                <w:bCs/>
              </w:rPr>
            </w:pPr>
            <w:r>
              <w:rPr>
                <w:b/>
                <w:bCs/>
              </w:rPr>
              <w:t>Szakbizottsági vita:</w:t>
            </w:r>
          </w:p>
        </w:tc>
        <w:tc>
          <w:tcPr>
            <w:tcW w:w="5390" w:type="dxa"/>
            <w:tcBorders>
              <w:top w:val="single" w:sz="4" w:space="0" w:color="auto"/>
              <w:left w:val="single" w:sz="4" w:space="0" w:color="auto"/>
              <w:bottom w:val="single" w:sz="4" w:space="0" w:color="auto"/>
              <w:right w:val="single" w:sz="4" w:space="0" w:color="auto"/>
            </w:tcBorders>
            <w:noWrap/>
            <w:hideMark/>
          </w:tcPr>
          <w:p w14:paraId="55B35084" w14:textId="417B282A" w:rsidR="0082322E" w:rsidRPr="00D36D33" w:rsidRDefault="00A176A9" w:rsidP="00555781">
            <w:pPr>
              <w:contextualSpacing/>
            </w:pPr>
            <w:r>
              <w:t>előreláthatólag 2018. október 18.</w:t>
            </w:r>
          </w:p>
        </w:tc>
      </w:tr>
      <w:tr w:rsidR="0082322E" w:rsidRPr="00D36D33" w14:paraId="1DCA894E"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28B476B5" w14:textId="2CC09D4A" w:rsidR="0082322E" w:rsidRPr="00D36D33" w:rsidRDefault="003A7754" w:rsidP="00555781">
            <w:pPr>
              <w:contextualSpacing/>
              <w:rPr>
                <w:b/>
                <w:bCs/>
              </w:rPr>
            </w:pPr>
            <w:r>
              <w:rPr>
                <w:b/>
                <w:bCs/>
              </w:rPr>
              <w:t>Szakbizottsági elfogadás kelte:</w:t>
            </w:r>
          </w:p>
        </w:tc>
        <w:tc>
          <w:tcPr>
            <w:tcW w:w="5390" w:type="dxa"/>
            <w:tcBorders>
              <w:top w:val="single" w:sz="4" w:space="0" w:color="auto"/>
              <w:left w:val="single" w:sz="4" w:space="0" w:color="auto"/>
              <w:bottom w:val="single" w:sz="4" w:space="0" w:color="auto"/>
              <w:right w:val="single" w:sz="4" w:space="0" w:color="auto"/>
            </w:tcBorders>
            <w:noWrap/>
            <w:hideMark/>
          </w:tcPr>
          <w:p w14:paraId="2E3AB8A6" w14:textId="7785A392" w:rsidR="0082322E" w:rsidRPr="00D36D33" w:rsidRDefault="00195A35" w:rsidP="00555781">
            <w:pPr>
              <w:contextualSpacing/>
            </w:pPr>
            <w:r>
              <w:t>előreláthatólag 2018. október 18.</w:t>
            </w:r>
          </w:p>
        </w:tc>
      </w:tr>
      <w:tr w:rsidR="0082322E" w:rsidRPr="00D36D33" w14:paraId="34821C3C"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35ECCDD4" w14:textId="1E924BC3" w:rsidR="0082322E" w:rsidRPr="00D36D33" w:rsidRDefault="003A7754" w:rsidP="00555781">
            <w:pPr>
              <w:contextualSpacing/>
              <w:rPr>
                <w:b/>
                <w:bCs/>
              </w:rPr>
            </w:pPr>
            <w:r>
              <w:rPr>
                <w:b/>
                <w:bCs/>
              </w:rPr>
              <w:t>Szakbizottsági szavazás eredménye: (szavazattöbbséggel/egyhangúlag elfogadva)</w:t>
            </w:r>
            <w:r>
              <w:rPr>
                <w:b/>
              </w:rPr>
              <w:t xml:space="preserve"> </w:t>
            </w:r>
          </w:p>
        </w:tc>
        <w:tc>
          <w:tcPr>
            <w:tcW w:w="5390" w:type="dxa"/>
            <w:tcBorders>
              <w:top w:val="single" w:sz="4" w:space="0" w:color="auto"/>
              <w:left w:val="single" w:sz="4" w:space="0" w:color="auto"/>
              <w:bottom w:val="single" w:sz="4" w:space="0" w:color="auto"/>
              <w:right w:val="single" w:sz="4" w:space="0" w:color="auto"/>
            </w:tcBorders>
            <w:noWrap/>
            <w:hideMark/>
          </w:tcPr>
          <w:p w14:paraId="58A10678" w14:textId="6D7148FC" w:rsidR="0082322E" w:rsidRPr="00D36D33" w:rsidRDefault="00770698" w:rsidP="00555781">
            <w:pPr>
              <w:contextualSpacing/>
            </w:pPr>
            <w:r>
              <w:t>–</w:t>
            </w:r>
          </w:p>
        </w:tc>
      </w:tr>
      <w:tr w:rsidR="0082322E" w:rsidRPr="00D36D33" w14:paraId="3B8EB7E2"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7E820030" w14:textId="2E09E0E3" w:rsidR="0082322E" w:rsidRPr="00D36D33" w:rsidRDefault="003A7754" w:rsidP="00786BDA">
            <w:pPr>
              <w:contextualSpacing/>
              <w:jc w:val="left"/>
              <w:rPr>
                <w:b/>
                <w:bCs/>
              </w:rPr>
            </w:pPr>
            <w:r>
              <w:rPr>
                <w:b/>
                <w:bCs/>
              </w:rPr>
              <w:t>Plenáris ülésen történő e</w:t>
            </w:r>
            <w:bookmarkStart w:id="0" w:name="_GoBack"/>
            <w:bookmarkEnd w:id="0"/>
            <w:r>
              <w:rPr>
                <w:b/>
                <w:bCs/>
              </w:rPr>
              <w:t>lfogadás kelte:</w:t>
            </w:r>
          </w:p>
        </w:tc>
        <w:tc>
          <w:tcPr>
            <w:tcW w:w="5390" w:type="dxa"/>
            <w:tcBorders>
              <w:top w:val="single" w:sz="4" w:space="0" w:color="auto"/>
              <w:left w:val="single" w:sz="4" w:space="0" w:color="auto"/>
              <w:bottom w:val="single" w:sz="4" w:space="0" w:color="auto"/>
              <w:right w:val="single" w:sz="4" w:space="0" w:color="auto"/>
            </w:tcBorders>
            <w:noWrap/>
            <w:hideMark/>
          </w:tcPr>
          <w:p w14:paraId="5C4E1BD6" w14:textId="6D9368F2" w:rsidR="0082322E" w:rsidRPr="00D36D33" w:rsidRDefault="00195A35" w:rsidP="00555781">
            <w:pPr>
              <w:contextualSpacing/>
            </w:pPr>
            <w:r>
              <w:t xml:space="preserve">előreláthatólag 2018. december 5–6. </w:t>
            </w:r>
          </w:p>
        </w:tc>
      </w:tr>
      <w:tr w:rsidR="0082322E" w:rsidRPr="00D36D33" w14:paraId="090F4F02"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6D313C74" w14:textId="4B2E0A05" w:rsidR="0082322E" w:rsidRPr="00D36D33" w:rsidRDefault="003A7754" w:rsidP="00555781">
            <w:pPr>
              <w:contextualSpacing/>
              <w:rPr>
                <w:b/>
                <w:bCs/>
              </w:rPr>
            </w:pPr>
            <w:r>
              <w:rPr>
                <w:b/>
                <w:bCs/>
              </w:rPr>
              <w:t>Korábbi RB-vélemények:</w:t>
            </w:r>
            <w:r>
              <w:rPr>
                <w:b/>
              </w:rPr>
              <w:t xml:space="preserve"> </w:t>
            </w:r>
          </w:p>
        </w:tc>
        <w:tc>
          <w:tcPr>
            <w:tcW w:w="5390" w:type="dxa"/>
            <w:tcBorders>
              <w:top w:val="single" w:sz="4" w:space="0" w:color="auto"/>
              <w:left w:val="single" w:sz="4" w:space="0" w:color="auto"/>
              <w:bottom w:val="single" w:sz="4" w:space="0" w:color="auto"/>
              <w:right w:val="single" w:sz="4" w:space="0" w:color="auto"/>
            </w:tcBorders>
            <w:noWrap/>
          </w:tcPr>
          <w:p w14:paraId="14E928CD" w14:textId="6C9F815C" w:rsidR="0082322E" w:rsidRPr="00D36D33" w:rsidRDefault="0082322E" w:rsidP="00555781">
            <w:pPr>
              <w:contextualSpacing/>
              <w:rPr>
                <w:b/>
              </w:rPr>
            </w:pPr>
            <w:r>
              <w:rPr>
                <w:b/>
              </w:rPr>
              <w:t>Erasmus mindenkinek</w:t>
            </w:r>
            <w:r w:rsidRPr="00527A72">
              <w:rPr>
                <w:b/>
                <w:sz w:val="24"/>
                <w:szCs w:val="24"/>
                <w:vertAlign w:val="superscript"/>
                <w:lang w:val="de-DE"/>
              </w:rPr>
              <w:footnoteReference w:id="1"/>
            </w:r>
          </w:p>
          <w:p w14:paraId="4FCF0149" w14:textId="2F3009AD" w:rsidR="0082322E" w:rsidRPr="00D36D33" w:rsidRDefault="000B03ED" w:rsidP="00555781">
            <w:pPr>
              <w:contextualSpacing/>
            </w:pPr>
            <w:r>
              <w:t>A sport integrációja a 2020 utáni időszakra vonatkozó uniós menetrendbe</w:t>
            </w:r>
            <w:r w:rsidR="0082322E" w:rsidRPr="00527A72">
              <w:rPr>
                <w:sz w:val="24"/>
                <w:szCs w:val="24"/>
                <w:vertAlign w:val="superscript"/>
                <w:lang w:val="de-DE"/>
              </w:rPr>
              <w:footnoteReference w:id="2"/>
            </w:r>
          </w:p>
          <w:p w14:paraId="53712BEE" w14:textId="60EFF462" w:rsidR="0082322E" w:rsidRPr="00D36D33" w:rsidRDefault="000B03ED" w:rsidP="00555781">
            <w:pPr>
              <w:contextualSpacing/>
            </w:pPr>
            <w:r>
              <w:t>Az európai identitás megerősítése az oktatás és a kultúra révén</w:t>
            </w:r>
            <w:r w:rsidR="0082322E" w:rsidRPr="00527A72">
              <w:rPr>
                <w:sz w:val="24"/>
                <w:szCs w:val="24"/>
                <w:vertAlign w:val="superscript"/>
                <w:lang w:val="de-DE"/>
              </w:rPr>
              <w:footnoteReference w:id="3"/>
            </w:r>
          </w:p>
          <w:p w14:paraId="37AF1E35" w14:textId="707F38D4" w:rsidR="0082322E" w:rsidRPr="00D36D33" w:rsidRDefault="005C0A06" w:rsidP="00555781">
            <w:pPr>
              <w:contextualSpacing/>
            </w:pPr>
            <w:r>
              <w:t>Az iskolai és a felsőoktatás korszerűsítése</w:t>
            </w:r>
            <w:r w:rsidR="0082322E" w:rsidRPr="00527A72">
              <w:rPr>
                <w:sz w:val="24"/>
                <w:szCs w:val="24"/>
                <w:vertAlign w:val="superscript"/>
                <w:lang w:val="de-DE"/>
              </w:rPr>
              <w:footnoteReference w:id="4"/>
            </w:r>
          </w:p>
          <w:p w14:paraId="54269B70" w14:textId="199C05A1" w:rsidR="0082322E" w:rsidRPr="00D36D33" w:rsidRDefault="009901DE" w:rsidP="00555781">
            <w:pPr>
              <w:contextualSpacing/>
            </w:pPr>
            <w:r>
              <w:t>Befektetés az európai ifjúságba és az Európai Szolidaritási Testület</w:t>
            </w:r>
            <w:r w:rsidR="0082322E" w:rsidRPr="00527A72">
              <w:rPr>
                <w:sz w:val="24"/>
                <w:szCs w:val="24"/>
                <w:vertAlign w:val="superscript"/>
                <w:lang w:val="de-DE"/>
              </w:rPr>
              <w:footnoteReference w:id="5"/>
            </w:r>
          </w:p>
          <w:p w14:paraId="6825FCC3" w14:textId="1190BF0B" w:rsidR="0082322E" w:rsidRPr="00D36D33" w:rsidRDefault="001E5F96" w:rsidP="00555781">
            <w:pPr>
              <w:contextualSpacing/>
            </w:pPr>
            <w:r>
              <w:t>Új európai készségfejlesztési program</w:t>
            </w:r>
            <w:r w:rsidR="0082322E" w:rsidRPr="00527A72">
              <w:rPr>
                <w:sz w:val="24"/>
                <w:szCs w:val="24"/>
                <w:vertAlign w:val="superscript"/>
                <w:lang w:val="de-DE"/>
              </w:rPr>
              <w:footnoteReference w:id="6"/>
            </w:r>
          </w:p>
          <w:p w14:paraId="145EC652" w14:textId="39315FC2" w:rsidR="0082322E" w:rsidRPr="00D36D33" w:rsidRDefault="009929C0" w:rsidP="00555781">
            <w:pPr>
              <w:contextualSpacing/>
            </w:pPr>
            <w:r>
              <w:t>Az ifjúságpolitika terén folytatott európai együttműködés megújított kerete (2010–2018)</w:t>
            </w:r>
            <w:r w:rsidR="0082322E" w:rsidRPr="00527A72">
              <w:rPr>
                <w:sz w:val="24"/>
                <w:szCs w:val="24"/>
                <w:vertAlign w:val="superscript"/>
                <w:lang w:val="de-DE"/>
              </w:rPr>
              <w:footnoteReference w:id="7"/>
            </w:r>
          </w:p>
          <w:p w14:paraId="12EAE679" w14:textId="6ED201A1" w:rsidR="0082322E" w:rsidRPr="00D36D33" w:rsidRDefault="009929C0" w:rsidP="00555781">
            <w:pPr>
              <w:contextualSpacing/>
            </w:pPr>
            <w:r>
              <w:t>A nem formális és informális tanulás útján szerzett képességek és kompetenciák elismerése</w:t>
            </w:r>
            <w:r w:rsidR="0082322E" w:rsidRPr="00527A72">
              <w:rPr>
                <w:sz w:val="24"/>
                <w:szCs w:val="24"/>
                <w:vertAlign w:val="superscript"/>
                <w:lang w:val="de-DE"/>
              </w:rPr>
              <w:footnoteReference w:id="8"/>
            </w:r>
          </w:p>
          <w:p w14:paraId="589869A7" w14:textId="09956F02" w:rsidR="0082322E" w:rsidRPr="00D36D33" w:rsidRDefault="00BF08CD" w:rsidP="00555781">
            <w:pPr>
              <w:contextualSpacing/>
            </w:pPr>
            <w:r>
              <w:t>Megnyíló oktatás</w:t>
            </w:r>
            <w:r w:rsidR="0082322E" w:rsidRPr="00527A72">
              <w:rPr>
                <w:sz w:val="24"/>
                <w:szCs w:val="24"/>
                <w:vertAlign w:val="superscript"/>
                <w:lang w:val="de-DE"/>
              </w:rPr>
              <w:footnoteReference w:id="9"/>
            </w:r>
          </w:p>
          <w:p w14:paraId="6A1A0043" w14:textId="44D05A65" w:rsidR="0082322E" w:rsidRPr="00D36D33" w:rsidRDefault="00DC6FAA" w:rsidP="00555781">
            <w:pPr>
              <w:contextualSpacing/>
            </w:pPr>
            <w:r>
              <w:lastRenderedPageBreak/>
              <w:t>Az európai felsőoktatás a világban</w:t>
            </w:r>
            <w:r w:rsidR="0082322E" w:rsidRPr="00527A72">
              <w:rPr>
                <w:sz w:val="24"/>
                <w:szCs w:val="24"/>
                <w:vertAlign w:val="superscript"/>
                <w:lang w:val="de-DE"/>
              </w:rPr>
              <w:footnoteReference w:id="10"/>
            </w:r>
          </w:p>
          <w:p w14:paraId="0288E6F5" w14:textId="0828B727" w:rsidR="0082322E" w:rsidRPr="00D36D33" w:rsidRDefault="00B8069B" w:rsidP="00555781">
            <w:pPr>
              <w:contextualSpacing/>
            </w:pPr>
            <w:r>
              <w:t>Gondoljuk újra az oktatást</w:t>
            </w:r>
            <w:r w:rsidR="0082322E" w:rsidRPr="00527A72">
              <w:rPr>
                <w:sz w:val="24"/>
                <w:szCs w:val="24"/>
                <w:vertAlign w:val="superscript"/>
                <w:lang w:val="de-DE"/>
              </w:rPr>
              <w:footnoteReference w:id="11"/>
            </w:r>
          </w:p>
          <w:p w14:paraId="7844F8F2" w14:textId="7CB2EB92" w:rsidR="0082322E" w:rsidRPr="00D36D33" w:rsidRDefault="004B1450" w:rsidP="00555781">
            <w:pPr>
              <w:contextualSpacing/>
            </w:pPr>
            <w:r>
              <w:t>A fiatalok aktív állampolgári szerepvállalásának oktatás útján történő ösztönzése</w:t>
            </w:r>
            <w:r w:rsidR="0082322E" w:rsidRPr="00527A72">
              <w:rPr>
                <w:sz w:val="24"/>
                <w:szCs w:val="24"/>
                <w:vertAlign w:val="superscript"/>
                <w:lang w:val="de-DE"/>
              </w:rPr>
              <w:footnoteReference w:id="12"/>
            </w:r>
          </w:p>
        </w:tc>
      </w:tr>
      <w:tr w:rsidR="0082322E" w:rsidRPr="00D36D33" w14:paraId="1700A4B4" w14:textId="77777777" w:rsidTr="00F83EAE">
        <w:tc>
          <w:tcPr>
            <w:tcW w:w="3848" w:type="dxa"/>
            <w:tcBorders>
              <w:top w:val="single" w:sz="4" w:space="0" w:color="auto"/>
              <w:left w:val="single" w:sz="4" w:space="0" w:color="auto"/>
              <w:bottom w:val="single" w:sz="4" w:space="0" w:color="auto"/>
              <w:right w:val="single" w:sz="4" w:space="0" w:color="auto"/>
            </w:tcBorders>
            <w:noWrap/>
            <w:hideMark/>
          </w:tcPr>
          <w:p w14:paraId="2B56B334" w14:textId="77044329" w:rsidR="0082322E" w:rsidRPr="00D36D33" w:rsidRDefault="00544320" w:rsidP="00786BDA">
            <w:pPr>
              <w:contextualSpacing/>
              <w:jc w:val="left"/>
              <w:rPr>
                <w:b/>
                <w:bCs/>
              </w:rPr>
            </w:pPr>
            <w:r>
              <w:rPr>
                <w:b/>
                <w:bCs/>
              </w:rPr>
              <w:lastRenderedPageBreak/>
              <w:t>A szubszidiaritás-ellenőrzési hálózattal folytatott konzultáció kelte:</w:t>
            </w:r>
          </w:p>
        </w:tc>
        <w:tc>
          <w:tcPr>
            <w:tcW w:w="5390" w:type="dxa"/>
            <w:tcBorders>
              <w:top w:val="single" w:sz="4" w:space="0" w:color="auto"/>
              <w:left w:val="single" w:sz="4" w:space="0" w:color="auto"/>
              <w:bottom w:val="single" w:sz="4" w:space="0" w:color="auto"/>
              <w:right w:val="single" w:sz="4" w:space="0" w:color="auto"/>
            </w:tcBorders>
            <w:noWrap/>
            <w:hideMark/>
          </w:tcPr>
          <w:p w14:paraId="3825A390" w14:textId="79917726" w:rsidR="0082322E" w:rsidRPr="00D36D33" w:rsidRDefault="009A01F6" w:rsidP="00555781">
            <w:pPr>
              <w:contextualSpacing/>
            </w:pPr>
            <w:r>
              <w:t xml:space="preserve">– </w:t>
            </w:r>
          </w:p>
        </w:tc>
      </w:tr>
    </w:tbl>
    <w:p w14:paraId="607F42E0" w14:textId="77777777" w:rsidR="0082322E" w:rsidRPr="00D36D33" w:rsidRDefault="0082322E" w:rsidP="00555781">
      <w:pPr>
        <w:rPr>
          <w:lang w:val="de-DE"/>
        </w:rPr>
      </w:pPr>
    </w:p>
    <w:p w14:paraId="10C773B9" w14:textId="77777777" w:rsidR="00076622" w:rsidRPr="00246E4A" w:rsidRDefault="00076622" w:rsidP="00555781">
      <w:pPr>
        <w:jc w:val="center"/>
      </w:pPr>
      <w:r>
        <w:t>_____________</w:t>
      </w:r>
    </w:p>
    <w:p w14:paraId="10C773BA" w14:textId="77777777" w:rsidR="00076622" w:rsidRPr="00246E4A" w:rsidRDefault="00076622" w:rsidP="00555781">
      <w:pPr>
        <w:rPr>
          <w:lang w:val="de-DE"/>
        </w:rPr>
      </w:pPr>
    </w:p>
    <w:sectPr w:rsidR="00076622" w:rsidRPr="00246E4A" w:rsidSect="00555781">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C822" w14:textId="77777777" w:rsidR="008C274F" w:rsidRDefault="008C274F">
      <w:r>
        <w:separator/>
      </w:r>
    </w:p>
  </w:endnote>
  <w:endnote w:type="continuationSeparator" w:id="0">
    <w:p w14:paraId="73655059" w14:textId="77777777" w:rsidR="008C274F" w:rsidRDefault="008C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73C5" w14:textId="0DCECA57" w:rsidR="008C274F" w:rsidRPr="00555781" w:rsidRDefault="00555781" w:rsidP="00555781">
    <w:pPr>
      <w:pStyle w:val="Footer"/>
    </w:pPr>
    <w:r>
      <w:t xml:space="preserve">COR-2018-03950-00-00-PA-TRA (DE/EN) </w:t>
    </w:r>
    <w:r>
      <w:fldChar w:fldCharType="begin"/>
    </w:r>
    <w:r>
      <w:instrText xml:space="preserve"> PAGE  \* Arabic  \* MERGEFORMAT </w:instrText>
    </w:r>
    <w:r>
      <w:fldChar w:fldCharType="separate"/>
    </w:r>
    <w:r w:rsidR="00786BDA">
      <w:rPr>
        <w:noProof/>
      </w:rPr>
      <w:t>1</w:t>
    </w:r>
    <w:r>
      <w:fldChar w:fldCharType="end"/>
    </w:r>
    <w:r>
      <w:t>/</w:t>
    </w:r>
    <w:r w:rsidR="00786BDA">
      <w:rPr>
        <w:noProof/>
      </w:rPr>
      <w:fldChar w:fldCharType="begin"/>
    </w:r>
    <w:r w:rsidR="00786BDA">
      <w:rPr>
        <w:noProof/>
      </w:rPr>
      <w:instrText xml:space="preserve"> NUMPAGES </w:instrText>
    </w:r>
    <w:r w:rsidR="00786BDA">
      <w:rPr>
        <w:noProof/>
      </w:rPr>
      <w:fldChar w:fldCharType="separate"/>
    </w:r>
    <w:r w:rsidR="00786BDA">
      <w:rPr>
        <w:noProof/>
      </w:rPr>
      <w:t>27</w:t>
    </w:r>
    <w:r w:rsidR="00786BD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ACE5" w14:textId="77777777" w:rsidR="008C274F" w:rsidRPr="00555781" w:rsidRDefault="008C274F" w:rsidP="0055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73C7" w14:textId="4BC27CC0" w:rsidR="008C274F" w:rsidRPr="00555781" w:rsidRDefault="00555781" w:rsidP="00555781">
    <w:pPr>
      <w:pStyle w:val="Footer"/>
    </w:pPr>
    <w:r>
      <w:t xml:space="preserve">COR-2018-03950-00-00-PA-TRA (DE/EN) </w:t>
    </w:r>
    <w:r>
      <w:fldChar w:fldCharType="begin"/>
    </w:r>
    <w:r>
      <w:instrText xml:space="preserve"> PAGE  \* Arabic  \* MERGEFORMAT </w:instrText>
    </w:r>
    <w:r>
      <w:fldChar w:fldCharType="separate"/>
    </w:r>
    <w:r w:rsidR="00786BDA">
      <w:rPr>
        <w:noProof/>
      </w:rPr>
      <w:t>27</w:t>
    </w:r>
    <w:r>
      <w:fldChar w:fldCharType="end"/>
    </w:r>
    <w:r>
      <w:t>/</w:t>
    </w:r>
    <w:r w:rsidR="00786BDA">
      <w:rPr>
        <w:noProof/>
      </w:rPr>
      <w:fldChar w:fldCharType="begin"/>
    </w:r>
    <w:r w:rsidR="00786BDA">
      <w:rPr>
        <w:noProof/>
      </w:rPr>
      <w:instrText xml:space="preserve"> NUMPAGES </w:instrText>
    </w:r>
    <w:r w:rsidR="00786BDA">
      <w:rPr>
        <w:noProof/>
      </w:rPr>
      <w:fldChar w:fldCharType="separate"/>
    </w:r>
    <w:r w:rsidR="00786BDA">
      <w:rPr>
        <w:noProof/>
      </w:rPr>
      <w:t>27</w:t>
    </w:r>
    <w:r w:rsidR="00786BD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73C8" w14:textId="77777777" w:rsidR="008C274F" w:rsidRPr="00555781" w:rsidRDefault="008C274F" w:rsidP="0055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99EB9" w14:textId="77777777" w:rsidR="008C274F" w:rsidRDefault="008C274F">
      <w:r>
        <w:separator/>
      </w:r>
    </w:p>
  </w:footnote>
  <w:footnote w:type="continuationSeparator" w:id="0">
    <w:p w14:paraId="1C590681" w14:textId="77777777" w:rsidR="008C274F" w:rsidRDefault="008C274F">
      <w:r>
        <w:continuationSeparator/>
      </w:r>
    </w:p>
  </w:footnote>
  <w:footnote w:id="1">
    <w:p w14:paraId="0EBB5B9E" w14:textId="07D5FBB2" w:rsidR="008C274F" w:rsidRPr="00F83EAE" w:rsidRDefault="008C274F" w:rsidP="0082322E">
      <w:pPr>
        <w:pStyle w:val="FootnoteText"/>
        <w:rPr>
          <w:sz w:val="18"/>
          <w:szCs w:val="18"/>
        </w:rPr>
      </w:pPr>
      <w:r w:rsidRPr="00F83EAE">
        <w:rPr>
          <w:rStyle w:val="FootnoteReference"/>
          <w:lang w:val="de-DE"/>
        </w:rPr>
        <w:footnoteRef/>
      </w:r>
      <w:r>
        <w:rPr>
          <w:sz w:val="18"/>
          <w:szCs w:val="18"/>
        </w:rPr>
        <w:t xml:space="preserve"> </w:t>
      </w:r>
      <w:r>
        <w:tab/>
        <w:t>CdR 2011/400.</w:t>
      </w:r>
    </w:p>
  </w:footnote>
  <w:footnote w:id="2">
    <w:p w14:paraId="44B68827" w14:textId="682FCC77" w:rsidR="008C274F" w:rsidRPr="00F83EAE" w:rsidRDefault="008C274F" w:rsidP="0082322E">
      <w:pPr>
        <w:pStyle w:val="FootnoteText"/>
      </w:pPr>
      <w:r w:rsidRPr="00F83EAE">
        <w:rPr>
          <w:rStyle w:val="FootnoteReference"/>
          <w:lang w:val="de-DE"/>
        </w:rPr>
        <w:footnoteRef/>
      </w:r>
      <w:r>
        <w:t xml:space="preserve"> </w:t>
      </w:r>
      <w:r>
        <w:tab/>
        <w:t>CdR 2018/1664 sz. véleménytervezet</w:t>
      </w:r>
    </w:p>
  </w:footnote>
  <w:footnote w:id="3">
    <w:p w14:paraId="29920C26" w14:textId="56362D96"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tab/>
        <w:t>CdR 2017/6048.</w:t>
      </w:r>
    </w:p>
  </w:footnote>
  <w:footnote w:id="4">
    <w:p w14:paraId="62E8C852" w14:textId="69B80B36"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 xml:space="preserve">CdR 2017/3139. </w:t>
      </w:r>
    </w:p>
  </w:footnote>
  <w:footnote w:id="5">
    <w:p w14:paraId="1759ECAD" w14:textId="671B1ABA"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tab/>
        <w:t xml:space="preserve">CdR 2017/851. </w:t>
      </w:r>
    </w:p>
  </w:footnote>
  <w:footnote w:id="6">
    <w:p w14:paraId="6FD95820" w14:textId="77C5C23F"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CdR 2016/4094.</w:t>
      </w:r>
    </w:p>
  </w:footnote>
  <w:footnote w:id="7">
    <w:p w14:paraId="0016B512" w14:textId="5ACFD92E"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CdR 2015/4872.</w:t>
      </w:r>
    </w:p>
  </w:footnote>
  <w:footnote w:id="8">
    <w:p w14:paraId="022D272B" w14:textId="07044692"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CdR 3921/2014.</w:t>
      </w:r>
    </w:p>
  </w:footnote>
  <w:footnote w:id="9">
    <w:p w14:paraId="194455DF" w14:textId="5FB5B17D"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 xml:space="preserve">CdR 6183/2013. </w:t>
      </w:r>
    </w:p>
  </w:footnote>
  <w:footnote w:id="10">
    <w:p w14:paraId="6D9F0473" w14:textId="5C5321F1"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 xml:space="preserve">CdR 5961/2013. </w:t>
      </w:r>
    </w:p>
  </w:footnote>
  <w:footnote w:id="11">
    <w:p w14:paraId="087A9F85" w14:textId="5D295949" w:rsidR="008C274F" w:rsidRPr="00527A72"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 xml:space="preserve">CdR 2392/2012. </w:t>
      </w:r>
    </w:p>
  </w:footnote>
  <w:footnote w:id="12">
    <w:p w14:paraId="63465641" w14:textId="27FFE4BF" w:rsidR="008C274F" w:rsidRPr="00F83EAE" w:rsidRDefault="008C274F" w:rsidP="0082322E">
      <w:pPr>
        <w:pStyle w:val="FootnoteText"/>
        <w:rPr>
          <w:szCs w:val="16"/>
        </w:rPr>
      </w:pPr>
      <w:r w:rsidRPr="00F83EAE">
        <w:rPr>
          <w:rStyle w:val="FootnoteReference"/>
          <w:lang w:val="de-DE"/>
        </w:rPr>
        <w:footnoteRef/>
      </w:r>
      <w:r>
        <w:rPr>
          <w:sz w:val="18"/>
          <w:szCs w:val="18"/>
        </w:rPr>
        <w:t xml:space="preserve"> </w:t>
      </w:r>
      <w:r>
        <w:rPr>
          <w:sz w:val="18"/>
          <w:szCs w:val="18"/>
        </w:rPr>
        <w:tab/>
      </w:r>
      <w:r>
        <w:t>CdR 173/2007.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E4CD" w14:textId="77777777" w:rsidR="008C274F" w:rsidRPr="00555781" w:rsidRDefault="008C274F" w:rsidP="00555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73C6" w14:textId="201E19CB" w:rsidR="008C274F" w:rsidRPr="00555781" w:rsidRDefault="008C274F" w:rsidP="00555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3E78" w14:textId="77777777" w:rsidR="008C274F" w:rsidRPr="00555781" w:rsidRDefault="008C274F" w:rsidP="00555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2B112E"/>
    <w:multiLevelType w:val="hybridMultilevel"/>
    <w:tmpl w:val="9CF4A652"/>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02E0A25"/>
    <w:multiLevelType w:val="hybridMultilevel"/>
    <w:tmpl w:val="A218D9DC"/>
    <w:lvl w:ilvl="0" w:tplc="C6E262CC">
      <w:start w:val="1"/>
      <w:numFmt w:val="decimal"/>
      <w:lvlText w:val="%1."/>
      <w:lvlJc w:val="left"/>
      <w:pPr>
        <w:ind w:left="851" w:hanging="851"/>
      </w:pPr>
      <w:rPr>
        <w:rFonts w:eastAsia="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784ADF"/>
    <w:multiLevelType w:val="multilevel"/>
    <w:tmpl w:val="040C000B"/>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C47DE7"/>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E6D0241"/>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C126D11"/>
    <w:multiLevelType w:val="hybridMultilevel"/>
    <w:tmpl w:val="E8CC7A60"/>
    <w:lvl w:ilvl="0" w:tplc="1D2C9980">
      <w:start w:val="1"/>
      <w:numFmt w:val="bullet"/>
      <w:lvlRestart w:val="0"/>
      <w:lvlText w:val="-"/>
      <w:lvlJc w:val="left"/>
      <w:pPr>
        <w:tabs>
          <w:tab w:val="num" w:pos="0"/>
        </w:tabs>
        <w:ind w:left="369" w:hanging="369"/>
      </w:pPr>
      <w:rPr>
        <w:rFonts w:ascii="Symbol" w:hAnsi="Symbol" w:hint="default"/>
        <w:b w:val="0"/>
        <w:i w:val="0"/>
        <w:sz w:val="22"/>
      </w:rPr>
    </w:lvl>
    <w:lvl w:ilvl="1" w:tplc="540EFE3C">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475B5"/>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6E07E9E"/>
    <w:multiLevelType w:val="multilevel"/>
    <w:tmpl w:val="9162F03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AC56566"/>
    <w:multiLevelType w:val="hybridMultilevel"/>
    <w:tmpl w:val="A50C394E"/>
    <w:lvl w:ilvl="0" w:tplc="FFFFFFFF">
      <w:start w:val="1"/>
      <w:numFmt w:val="bullet"/>
      <w:lvlText w:val=""/>
      <w:lvlJc w:val="left"/>
      <w:pPr>
        <w:tabs>
          <w:tab w:val="num" w:pos="720"/>
        </w:tabs>
        <w:ind w:left="1089" w:hanging="369"/>
      </w:pPr>
      <w:rPr>
        <w:rFonts w:ascii="Symbol" w:hAnsi="Symbol"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10" w15:restartNumberingAfterBreak="0">
    <w:nsid w:val="450F18BA"/>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7380141"/>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FA06C4A"/>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6216FAC"/>
    <w:multiLevelType w:val="hybridMultilevel"/>
    <w:tmpl w:val="C79E9634"/>
    <w:lvl w:ilvl="0" w:tplc="C2E66E6E">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75479B9"/>
    <w:multiLevelType w:val="multilevel"/>
    <w:tmpl w:val="1842F664"/>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93E70B6"/>
    <w:multiLevelType w:val="hybridMultilevel"/>
    <w:tmpl w:val="01C8A6A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9E20D74"/>
    <w:multiLevelType w:val="hybridMultilevel"/>
    <w:tmpl w:val="B1CA226C"/>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A443096"/>
    <w:multiLevelType w:val="hybridMultilevel"/>
    <w:tmpl w:val="71787CA6"/>
    <w:lvl w:ilvl="0" w:tplc="328A495C">
      <w:start w:val="1"/>
      <w:numFmt w:val="bullet"/>
      <w:lvlText w:val=""/>
      <w:lvlJc w:val="left"/>
      <w:pPr>
        <w:tabs>
          <w:tab w:val="num" w:pos="360"/>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1206028"/>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569403B"/>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66D67E2C"/>
    <w:multiLevelType w:val="hybridMultilevel"/>
    <w:tmpl w:val="0992966C"/>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063133"/>
    <w:multiLevelType w:val="hybridMultilevel"/>
    <w:tmpl w:val="37BA42EA"/>
    <w:lvl w:ilvl="0" w:tplc="FFFFFFFF">
      <w:start w:val="1"/>
      <w:numFmt w:val="bullet"/>
      <w:lvlText w:val="–"/>
      <w:lvlJc w:val="left"/>
      <w:pPr>
        <w:tabs>
          <w:tab w:val="num" w:pos="1089"/>
        </w:tabs>
        <w:ind w:left="1089" w:hanging="369"/>
      </w:pPr>
      <w:rPr>
        <w:rFonts w:ascii="Times New Roman" w:hAnsi="Times New Roman"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66E2413"/>
    <w:multiLevelType w:val="multilevel"/>
    <w:tmpl w:val="FDA4108C"/>
    <w:lvl w:ilvl="0">
      <w:start w:val="1"/>
      <w:numFmt w:val="none"/>
      <w:lvlText w:val=""/>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800"/>
        </w:tabs>
        <w:ind w:left="1008" w:hanging="1008"/>
      </w:pPr>
      <w:rPr>
        <w:rFonts w:cs="Times New Roman"/>
      </w:rPr>
    </w:lvl>
    <w:lvl w:ilvl="5">
      <w:start w:val="1"/>
      <w:numFmt w:val="decimal"/>
      <w:lvlText w:val="%1.%2.%3.%4.%5.%6"/>
      <w:lvlJc w:val="left"/>
      <w:pPr>
        <w:tabs>
          <w:tab w:val="num" w:pos="2160"/>
        </w:tabs>
        <w:ind w:left="1152" w:hanging="1152"/>
      </w:pPr>
      <w:rPr>
        <w:rFonts w:cs="Times New Roman"/>
      </w:rPr>
    </w:lvl>
    <w:lvl w:ilvl="6">
      <w:start w:val="1"/>
      <w:numFmt w:val="decimal"/>
      <w:lvlText w:val="%1.%2.%3.%4.%5.%6.%7"/>
      <w:lvlJc w:val="left"/>
      <w:pPr>
        <w:tabs>
          <w:tab w:val="num" w:pos="2520"/>
        </w:tabs>
        <w:ind w:left="1296" w:hanging="1296"/>
      </w:pPr>
      <w:rPr>
        <w:rFonts w:cs="Times New Roman"/>
      </w:rPr>
    </w:lvl>
    <w:lvl w:ilvl="7">
      <w:start w:val="1"/>
      <w:numFmt w:val="decimal"/>
      <w:lvlText w:val="%1.%2.%3.%4.%5.%6.%7.%8"/>
      <w:lvlJc w:val="left"/>
      <w:pPr>
        <w:tabs>
          <w:tab w:val="num" w:pos="2880"/>
        </w:tabs>
        <w:ind w:left="1440" w:hanging="1440"/>
      </w:pPr>
      <w:rPr>
        <w:rFonts w:cs="Times New Roman"/>
      </w:rPr>
    </w:lvl>
    <w:lvl w:ilvl="8">
      <w:start w:val="1"/>
      <w:numFmt w:val="decimal"/>
      <w:lvlText w:val="%1.%2.%3.%4.%5.%6.%7.%8.%9"/>
      <w:lvlJc w:val="left"/>
      <w:pPr>
        <w:tabs>
          <w:tab w:val="num" w:pos="3240"/>
        </w:tabs>
        <w:ind w:left="1584" w:hanging="1584"/>
      </w:pPr>
      <w:rPr>
        <w:rFonts w:cs="Times New Roman"/>
      </w:rPr>
    </w:lvl>
  </w:abstractNum>
  <w:num w:numId="1">
    <w:abstractNumId w:val="0"/>
  </w:num>
  <w:num w:numId="2">
    <w:abstractNumId w:val="9"/>
  </w:num>
  <w:num w:numId="3">
    <w:abstractNumId w:val="21"/>
  </w:num>
  <w:num w:numId="4">
    <w:abstractNumId w:val="15"/>
  </w:num>
  <w:num w:numId="5">
    <w:abstractNumId w:val="5"/>
  </w:num>
  <w:num w:numId="6">
    <w:abstractNumId w:val="8"/>
  </w:num>
  <w:num w:numId="7">
    <w:abstractNumId w:val="4"/>
  </w:num>
  <w:num w:numId="8">
    <w:abstractNumId w:val="22"/>
  </w:num>
  <w:num w:numId="9">
    <w:abstractNumId w:val="11"/>
  </w:num>
  <w:num w:numId="10">
    <w:abstractNumId w:val="12"/>
  </w:num>
  <w:num w:numId="11">
    <w:abstractNumId w:val="19"/>
  </w:num>
  <w:num w:numId="12">
    <w:abstractNumId w:val="14"/>
  </w:num>
  <w:num w:numId="13">
    <w:abstractNumId w:val="18"/>
  </w:num>
  <w:num w:numId="14">
    <w:abstractNumId w:val="3"/>
  </w:num>
  <w:num w:numId="15">
    <w:abstractNumId w:val="16"/>
  </w:num>
  <w:num w:numId="16">
    <w:abstractNumId w:val="1"/>
  </w:num>
  <w:num w:numId="17">
    <w:abstractNumId w:val="5"/>
  </w:num>
  <w:num w:numId="18">
    <w:abstractNumId w:val="7"/>
  </w:num>
  <w:num w:numId="19">
    <w:abstractNumId w:val="13"/>
  </w:num>
  <w:num w:numId="20">
    <w:abstractNumId w:val="17"/>
  </w:num>
  <w:num w:numId="21">
    <w:abstractNumId w:val="6"/>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57"/>
  <w:doNotHyphenateCaps/>
  <w:drawingGridHorizontalSpacing w:val="110"/>
  <w:drawingGridVerticalSpacing w:val="299"/>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79"/>
    <w:rsid w:val="0000312E"/>
    <w:rsid w:val="00020CC6"/>
    <w:rsid w:val="00031D2F"/>
    <w:rsid w:val="00036719"/>
    <w:rsid w:val="00046EFC"/>
    <w:rsid w:val="000639F3"/>
    <w:rsid w:val="00064678"/>
    <w:rsid w:val="00075D40"/>
    <w:rsid w:val="00076622"/>
    <w:rsid w:val="000774F4"/>
    <w:rsid w:val="000826E1"/>
    <w:rsid w:val="00086DED"/>
    <w:rsid w:val="00094280"/>
    <w:rsid w:val="00096621"/>
    <w:rsid w:val="00096FD1"/>
    <w:rsid w:val="000A48B6"/>
    <w:rsid w:val="000B03ED"/>
    <w:rsid w:val="000B7357"/>
    <w:rsid w:val="000D0EF0"/>
    <w:rsid w:val="000D4F2C"/>
    <w:rsid w:val="000E23E3"/>
    <w:rsid w:val="000E4F36"/>
    <w:rsid w:val="000E6007"/>
    <w:rsid w:val="00107616"/>
    <w:rsid w:val="00123ED0"/>
    <w:rsid w:val="00125F65"/>
    <w:rsid w:val="0013039D"/>
    <w:rsid w:val="00134D27"/>
    <w:rsid w:val="00136098"/>
    <w:rsid w:val="00137C3E"/>
    <w:rsid w:val="001417D6"/>
    <w:rsid w:val="00150C51"/>
    <w:rsid w:val="0015581E"/>
    <w:rsid w:val="00162BA5"/>
    <w:rsid w:val="00163432"/>
    <w:rsid w:val="001634A8"/>
    <w:rsid w:val="00173444"/>
    <w:rsid w:val="00182DF3"/>
    <w:rsid w:val="001866BF"/>
    <w:rsid w:val="00195A35"/>
    <w:rsid w:val="00197BB8"/>
    <w:rsid w:val="001A0904"/>
    <w:rsid w:val="001A3185"/>
    <w:rsid w:val="001A5587"/>
    <w:rsid w:val="001B6B67"/>
    <w:rsid w:val="001C0418"/>
    <w:rsid w:val="001E5F96"/>
    <w:rsid w:val="00203C20"/>
    <w:rsid w:val="0020767B"/>
    <w:rsid w:val="00212F0A"/>
    <w:rsid w:val="0021434F"/>
    <w:rsid w:val="00220DBB"/>
    <w:rsid w:val="00221824"/>
    <w:rsid w:val="00222580"/>
    <w:rsid w:val="00236377"/>
    <w:rsid w:val="00246E4A"/>
    <w:rsid w:val="00247A41"/>
    <w:rsid w:val="00253EEF"/>
    <w:rsid w:val="0025575C"/>
    <w:rsid w:val="00256CDC"/>
    <w:rsid w:val="00257ED5"/>
    <w:rsid w:val="0026110C"/>
    <w:rsid w:val="00277374"/>
    <w:rsid w:val="002808E6"/>
    <w:rsid w:val="0028226A"/>
    <w:rsid w:val="00285AAF"/>
    <w:rsid w:val="00292A4F"/>
    <w:rsid w:val="00294E07"/>
    <w:rsid w:val="00296250"/>
    <w:rsid w:val="00296805"/>
    <w:rsid w:val="002A3309"/>
    <w:rsid w:val="002B0ADE"/>
    <w:rsid w:val="002B6441"/>
    <w:rsid w:val="002C05AF"/>
    <w:rsid w:val="002D23A9"/>
    <w:rsid w:val="002D55A4"/>
    <w:rsid w:val="002E799D"/>
    <w:rsid w:val="002F0D0B"/>
    <w:rsid w:val="002F41B5"/>
    <w:rsid w:val="002F6582"/>
    <w:rsid w:val="00304D77"/>
    <w:rsid w:val="003063A6"/>
    <w:rsid w:val="00311B6C"/>
    <w:rsid w:val="0033429B"/>
    <w:rsid w:val="0034174D"/>
    <w:rsid w:val="00354A40"/>
    <w:rsid w:val="003554F0"/>
    <w:rsid w:val="00355527"/>
    <w:rsid w:val="0038065A"/>
    <w:rsid w:val="003817AC"/>
    <w:rsid w:val="00382516"/>
    <w:rsid w:val="003867A4"/>
    <w:rsid w:val="003901A9"/>
    <w:rsid w:val="003953C9"/>
    <w:rsid w:val="003A1968"/>
    <w:rsid w:val="003A4CC4"/>
    <w:rsid w:val="003A7754"/>
    <w:rsid w:val="003A7F9B"/>
    <w:rsid w:val="003B2BB4"/>
    <w:rsid w:val="003B71AF"/>
    <w:rsid w:val="003E20C2"/>
    <w:rsid w:val="003E6754"/>
    <w:rsid w:val="003F35BF"/>
    <w:rsid w:val="003F4D33"/>
    <w:rsid w:val="003F58D2"/>
    <w:rsid w:val="0040040B"/>
    <w:rsid w:val="0040240A"/>
    <w:rsid w:val="00427F31"/>
    <w:rsid w:val="004315B5"/>
    <w:rsid w:val="00435F24"/>
    <w:rsid w:val="004552CF"/>
    <w:rsid w:val="00457290"/>
    <w:rsid w:val="004702D4"/>
    <w:rsid w:val="004872BB"/>
    <w:rsid w:val="004B022E"/>
    <w:rsid w:val="004B1450"/>
    <w:rsid w:val="004C136D"/>
    <w:rsid w:val="004C7FAD"/>
    <w:rsid w:val="004D0F4C"/>
    <w:rsid w:val="004D2413"/>
    <w:rsid w:val="004E21DE"/>
    <w:rsid w:val="004F4295"/>
    <w:rsid w:val="004F6E8B"/>
    <w:rsid w:val="005023D4"/>
    <w:rsid w:val="00503779"/>
    <w:rsid w:val="005174CF"/>
    <w:rsid w:val="00527A72"/>
    <w:rsid w:val="00533EC4"/>
    <w:rsid w:val="005366E5"/>
    <w:rsid w:val="00544320"/>
    <w:rsid w:val="0054787E"/>
    <w:rsid w:val="00551FBE"/>
    <w:rsid w:val="00552452"/>
    <w:rsid w:val="00555781"/>
    <w:rsid w:val="00561FAC"/>
    <w:rsid w:val="00562F15"/>
    <w:rsid w:val="00563EF1"/>
    <w:rsid w:val="00574D88"/>
    <w:rsid w:val="00582BC5"/>
    <w:rsid w:val="00593C1B"/>
    <w:rsid w:val="005A3EBF"/>
    <w:rsid w:val="005B2D5B"/>
    <w:rsid w:val="005B50E1"/>
    <w:rsid w:val="005C0A06"/>
    <w:rsid w:val="005E0542"/>
    <w:rsid w:val="005E27D2"/>
    <w:rsid w:val="005E6F64"/>
    <w:rsid w:val="005E78A4"/>
    <w:rsid w:val="005F23BF"/>
    <w:rsid w:val="005F39D1"/>
    <w:rsid w:val="005F6D3D"/>
    <w:rsid w:val="00606B5A"/>
    <w:rsid w:val="00616AC6"/>
    <w:rsid w:val="00627D34"/>
    <w:rsid w:val="00632D4A"/>
    <w:rsid w:val="00635878"/>
    <w:rsid w:val="00642923"/>
    <w:rsid w:val="006475AB"/>
    <w:rsid w:val="006524A4"/>
    <w:rsid w:val="0065479C"/>
    <w:rsid w:val="00663089"/>
    <w:rsid w:val="00671D33"/>
    <w:rsid w:val="006A2D89"/>
    <w:rsid w:val="006B5586"/>
    <w:rsid w:val="006C5A63"/>
    <w:rsid w:val="006C5ED3"/>
    <w:rsid w:val="006C7D32"/>
    <w:rsid w:val="006D325E"/>
    <w:rsid w:val="006E3291"/>
    <w:rsid w:val="006E4DE0"/>
    <w:rsid w:val="006F6830"/>
    <w:rsid w:val="00713AA9"/>
    <w:rsid w:val="00716A5A"/>
    <w:rsid w:val="00722F7E"/>
    <w:rsid w:val="00733EED"/>
    <w:rsid w:val="00742311"/>
    <w:rsid w:val="00750331"/>
    <w:rsid w:val="00752745"/>
    <w:rsid w:val="00755E50"/>
    <w:rsid w:val="00756275"/>
    <w:rsid w:val="007616D3"/>
    <w:rsid w:val="00761F73"/>
    <w:rsid w:val="00764371"/>
    <w:rsid w:val="00770698"/>
    <w:rsid w:val="00771660"/>
    <w:rsid w:val="00775B06"/>
    <w:rsid w:val="00786BDA"/>
    <w:rsid w:val="007B3918"/>
    <w:rsid w:val="007B3AC1"/>
    <w:rsid w:val="007C06DE"/>
    <w:rsid w:val="007C4CF1"/>
    <w:rsid w:val="007E0266"/>
    <w:rsid w:val="007E1D1D"/>
    <w:rsid w:val="007E4D75"/>
    <w:rsid w:val="007F2E0A"/>
    <w:rsid w:val="007F52D1"/>
    <w:rsid w:val="0080055B"/>
    <w:rsid w:val="00801075"/>
    <w:rsid w:val="00806ECE"/>
    <w:rsid w:val="008142D6"/>
    <w:rsid w:val="008151F1"/>
    <w:rsid w:val="0082322E"/>
    <w:rsid w:val="00844534"/>
    <w:rsid w:val="008466D3"/>
    <w:rsid w:val="00863597"/>
    <w:rsid w:val="00871FCC"/>
    <w:rsid w:val="00874835"/>
    <w:rsid w:val="00875983"/>
    <w:rsid w:val="00887F6B"/>
    <w:rsid w:val="0089214D"/>
    <w:rsid w:val="008A2AFE"/>
    <w:rsid w:val="008C215D"/>
    <w:rsid w:val="008C274F"/>
    <w:rsid w:val="008C7BEF"/>
    <w:rsid w:val="008D1CE7"/>
    <w:rsid w:val="008D2B82"/>
    <w:rsid w:val="008D300A"/>
    <w:rsid w:val="008D4570"/>
    <w:rsid w:val="008E56A8"/>
    <w:rsid w:val="008E5C65"/>
    <w:rsid w:val="008F1198"/>
    <w:rsid w:val="008F797C"/>
    <w:rsid w:val="009040B0"/>
    <w:rsid w:val="00912143"/>
    <w:rsid w:val="00916260"/>
    <w:rsid w:val="0094032E"/>
    <w:rsid w:val="00953B57"/>
    <w:rsid w:val="0095447D"/>
    <w:rsid w:val="00960918"/>
    <w:rsid w:val="0096169F"/>
    <w:rsid w:val="009643FD"/>
    <w:rsid w:val="00964B5D"/>
    <w:rsid w:val="0097397F"/>
    <w:rsid w:val="009901DE"/>
    <w:rsid w:val="00991085"/>
    <w:rsid w:val="009929C0"/>
    <w:rsid w:val="009A01F6"/>
    <w:rsid w:val="009A5D8F"/>
    <w:rsid w:val="009B3399"/>
    <w:rsid w:val="009B34DF"/>
    <w:rsid w:val="009B4E50"/>
    <w:rsid w:val="009C30FC"/>
    <w:rsid w:val="009C7075"/>
    <w:rsid w:val="009D6075"/>
    <w:rsid w:val="009E31EC"/>
    <w:rsid w:val="009F0906"/>
    <w:rsid w:val="00A074D7"/>
    <w:rsid w:val="00A07579"/>
    <w:rsid w:val="00A176A9"/>
    <w:rsid w:val="00A21D65"/>
    <w:rsid w:val="00A350B0"/>
    <w:rsid w:val="00A36C2A"/>
    <w:rsid w:val="00A40ACA"/>
    <w:rsid w:val="00A65AE0"/>
    <w:rsid w:val="00A669EB"/>
    <w:rsid w:val="00A769F5"/>
    <w:rsid w:val="00A87FDC"/>
    <w:rsid w:val="00A91FF6"/>
    <w:rsid w:val="00A93B04"/>
    <w:rsid w:val="00AA25F0"/>
    <w:rsid w:val="00AA6A31"/>
    <w:rsid w:val="00AA7A5C"/>
    <w:rsid w:val="00AB2038"/>
    <w:rsid w:val="00AB7A10"/>
    <w:rsid w:val="00AC092A"/>
    <w:rsid w:val="00AD1CED"/>
    <w:rsid w:val="00AE0558"/>
    <w:rsid w:val="00AF2D25"/>
    <w:rsid w:val="00AF38E8"/>
    <w:rsid w:val="00B03C76"/>
    <w:rsid w:val="00B0523A"/>
    <w:rsid w:val="00B110B7"/>
    <w:rsid w:val="00B21962"/>
    <w:rsid w:val="00B21C37"/>
    <w:rsid w:val="00B30418"/>
    <w:rsid w:val="00B3086A"/>
    <w:rsid w:val="00B40D50"/>
    <w:rsid w:val="00B45D0C"/>
    <w:rsid w:val="00B55B2C"/>
    <w:rsid w:val="00B57A56"/>
    <w:rsid w:val="00B63404"/>
    <w:rsid w:val="00B66765"/>
    <w:rsid w:val="00B8069B"/>
    <w:rsid w:val="00B83625"/>
    <w:rsid w:val="00B90DA4"/>
    <w:rsid w:val="00B9153D"/>
    <w:rsid w:val="00BB5396"/>
    <w:rsid w:val="00BC2163"/>
    <w:rsid w:val="00BC3863"/>
    <w:rsid w:val="00BC732A"/>
    <w:rsid w:val="00BD091E"/>
    <w:rsid w:val="00BD711C"/>
    <w:rsid w:val="00BE42D3"/>
    <w:rsid w:val="00BE46C0"/>
    <w:rsid w:val="00BF08CD"/>
    <w:rsid w:val="00BF41D4"/>
    <w:rsid w:val="00C14B35"/>
    <w:rsid w:val="00C24A52"/>
    <w:rsid w:val="00C353BD"/>
    <w:rsid w:val="00C35811"/>
    <w:rsid w:val="00C42430"/>
    <w:rsid w:val="00C46C78"/>
    <w:rsid w:val="00C67FF6"/>
    <w:rsid w:val="00C7036A"/>
    <w:rsid w:val="00C70757"/>
    <w:rsid w:val="00C74549"/>
    <w:rsid w:val="00C8399E"/>
    <w:rsid w:val="00C84B70"/>
    <w:rsid w:val="00C93031"/>
    <w:rsid w:val="00C9407B"/>
    <w:rsid w:val="00CB2A73"/>
    <w:rsid w:val="00CE233E"/>
    <w:rsid w:val="00CF53C2"/>
    <w:rsid w:val="00CF6160"/>
    <w:rsid w:val="00D03ECE"/>
    <w:rsid w:val="00D113B9"/>
    <w:rsid w:val="00D11F71"/>
    <w:rsid w:val="00D16546"/>
    <w:rsid w:val="00D2465E"/>
    <w:rsid w:val="00D36D33"/>
    <w:rsid w:val="00D37E9B"/>
    <w:rsid w:val="00D37F4B"/>
    <w:rsid w:val="00D55D69"/>
    <w:rsid w:val="00D73141"/>
    <w:rsid w:val="00D82485"/>
    <w:rsid w:val="00D8783D"/>
    <w:rsid w:val="00D97CC9"/>
    <w:rsid w:val="00DB1115"/>
    <w:rsid w:val="00DB437F"/>
    <w:rsid w:val="00DB6A90"/>
    <w:rsid w:val="00DC5B6E"/>
    <w:rsid w:val="00DC6FAA"/>
    <w:rsid w:val="00DD5A3E"/>
    <w:rsid w:val="00DE4CCA"/>
    <w:rsid w:val="00DF0C71"/>
    <w:rsid w:val="00E251EE"/>
    <w:rsid w:val="00E276F5"/>
    <w:rsid w:val="00E460B3"/>
    <w:rsid w:val="00E673FE"/>
    <w:rsid w:val="00E7317F"/>
    <w:rsid w:val="00E772F9"/>
    <w:rsid w:val="00E845F0"/>
    <w:rsid w:val="00E87CF7"/>
    <w:rsid w:val="00E97372"/>
    <w:rsid w:val="00EB52A2"/>
    <w:rsid w:val="00EC0D12"/>
    <w:rsid w:val="00EC3D42"/>
    <w:rsid w:val="00ED3FC5"/>
    <w:rsid w:val="00EE5F46"/>
    <w:rsid w:val="00EE6062"/>
    <w:rsid w:val="00EE73B6"/>
    <w:rsid w:val="00EF4CBE"/>
    <w:rsid w:val="00EF57E1"/>
    <w:rsid w:val="00EF7AC4"/>
    <w:rsid w:val="00F112D4"/>
    <w:rsid w:val="00F11384"/>
    <w:rsid w:val="00F22BE6"/>
    <w:rsid w:val="00F22F5D"/>
    <w:rsid w:val="00F33228"/>
    <w:rsid w:val="00F33562"/>
    <w:rsid w:val="00F61071"/>
    <w:rsid w:val="00F616A4"/>
    <w:rsid w:val="00F66ABF"/>
    <w:rsid w:val="00F80C51"/>
    <w:rsid w:val="00F839FA"/>
    <w:rsid w:val="00F83EAE"/>
    <w:rsid w:val="00FA1C26"/>
    <w:rsid w:val="00FB6153"/>
    <w:rsid w:val="00FC0C4B"/>
    <w:rsid w:val="00FC1349"/>
    <w:rsid w:val="00FC24FF"/>
    <w:rsid w:val="00FE2B5A"/>
    <w:rsid w:val="00FF08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C77344"/>
  <w15:docId w15:val="{4E95743E-5241-4D19-967F-C2623B0F648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18"/>
    <w:pPr>
      <w:spacing w:line="288" w:lineRule="auto"/>
      <w:jc w:val="both"/>
    </w:pPr>
    <w:rPr>
      <w:sz w:val="22"/>
      <w:szCs w:val="22"/>
      <w:lang w:eastAsia="en-US"/>
    </w:rPr>
  </w:style>
  <w:style w:type="paragraph" w:styleId="Heading1">
    <w:name w:val="heading 1"/>
    <w:basedOn w:val="Normal"/>
    <w:next w:val="Normal"/>
    <w:link w:val="Heading1Char"/>
    <w:qFormat/>
    <w:rsid w:val="00960918"/>
    <w:pPr>
      <w:numPr>
        <w:numId w:val="1"/>
      </w:numPr>
      <w:ind w:left="567" w:hanging="567"/>
      <w:outlineLvl w:val="0"/>
    </w:pPr>
    <w:rPr>
      <w:kern w:val="28"/>
    </w:rPr>
  </w:style>
  <w:style w:type="paragraph" w:styleId="Heading2">
    <w:name w:val="heading 2"/>
    <w:basedOn w:val="Normal"/>
    <w:next w:val="Normal"/>
    <w:link w:val="Heading2Char"/>
    <w:qFormat/>
    <w:rsid w:val="00960918"/>
    <w:pPr>
      <w:numPr>
        <w:ilvl w:val="1"/>
        <w:numId w:val="1"/>
      </w:numPr>
      <w:ind w:left="567" w:hanging="567"/>
      <w:outlineLvl w:val="1"/>
    </w:pPr>
  </w:style>
  <w:style w:type="paragraph" w:styleId="Heading3">
    <w:name w:val="heading 3"/>
    <w:basedOn w:val="Normal"/>
    <w:next w:val="Normal"/>
    <w:link w:val="Heading3Char"/>
    <w:qFormat/>
    <w:rsid w:val="00960918"/>
    <w:pPr>
      <w:numPr>
        <w:ilvl w:val="2"/>
        <w:numId w:val="1"/>
      </w:numPr>
      <w:ind w:left="567" w:hanging="567"/>
      <w:outlineLvl w:val="2"/>
    </w:pPr>
  </w:style>
  <w:style w:type="paragraph" w:styleId="Heading4">
    <w:name w:val="heading 4"/>
    <w:basedOn w:val="Normal"/>
    <w:next w:val="Normal"/>
    <w:link w:val="Heading4Char"/>
    <w:qFormat/>
    <w:rsid w:val="00960918"/>
    <w:pPr>
      <w:numPr>
        <w:ilvl w:val="3"/>
        <w:numId w:val="1"/>
      </w:numPr>
      <w:ind w:left="567" w:hanging="567"/>
      <w:outlineLvl w:val="3"/>
    </w:pPr>
  </w:style>
  <w:style w:type="paragraph" w:styleId="Heading5">
    <w:name w:val="heading 5"/>
    <w:basedOn w:val="Normal"/>
    <w:next w:val="Normal"/>
    <w:link w:val="Heading5Char"/>
    <w:qFormat/>
    <w:rsid w:val="00960918"/>
    <w:pPr>
      <w:numPr>
        <w:ilvl w:val="4"/>
        <w:numId w:val="1"/>
      </w:numPr>
      <w:ind w:left="567" w:hanging="567"/>
      <w:outlineLvl w:val="4"/>
    </w:pPr>
  </w:style>
  <w:style w:type="paragraph" w:styleId="Heading6">
    <w:name w:val="heading 6"/>
    <w:basedOn w:val="Normal"/>
    <w:next w:val="Normal"/>
    <w:link w:val="Heading6Char"/>
    <w:qFormat/>
    <w:rsid w:val="00960918"/>
    <w:pPr>
      <w:numPr>
        <w:ilvl w:val="5"/>
        <w:numId w:val="1"/>
      </w:numPr>
      <w:ind w:left="567" w:hanging="567"/>
      <w:outlineLvl w:val="5"/>
    </w:pPr>
  </w:style>
  <w:style w:type="paragraph" w:styleId="Heading7">
    <w:name w:val="heading 7"/>
    <w:basedOn w:val="Normal"/>
    <w:next w:val="Normal"/>
    <w:link w:val="Heading7Char"/>
    <w:qFormat/>
    <w:rsid w:val="00960918"/>
    <w:pPr>
      <w:numPr>
        <w:ilvl w:val="6"/>
        <w:numId w:val="1"/>
      </w:numPr>
      <w:ind w:left="567" w:hanging="567"/>
      <w:outlineLvl w:val="6"/>
    </w:pPr>
  </w:style>
  <w:style w:type="paragraph" w:styleId="Heading8">
    <w:name w:val="heading 8"/>
    <w:basedOn w:val="Normal"/>
    <w:next w:val="Normal"/>
    <w:link w:val="Heading8Char"/>
    <w:qFormat/>
    <w:rsid w:val="00960918"/>
    <w:pPr>
      <w:numPr>
        <w:ilvl w:val="7"/>
        <w:numId w:val="1"/>
      </w:numPr>
      <w:ind w:left="567" w:hanging="567"/>
      <w:outlineLvl w:val="7"/>
    </w:pPr>
  </w:style>
  <w:style w:type="paragraph" w:styleId="Heading9">
    <w:name w:val="heading 9"/>
    <w:basedOn w:val="Normal"/>
    <w:next w:val="Normal"/>
    <w:link w:val="Heading9Char"/>
    <w:qFormat/>
    <w:rsid w:val="0096091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87"/>
    <w:rPr>
      <w:kern w:val="28"/>
      <w:sz w:val="22"/>
      <w:szCs w:val="22"/>
      <w:lang w:val="hu-HU" w:eastAsia="en-US"/>
    </w:rPr>
  </w:style>
  <w:style w:type="character" w:customStyle="1" w:styleId="Heading2Char">
    <w:name w:val="Heading 2 Char"/>
    <w:basedOn w:val="DefaultParagraphFont"/>
    <w:link w:val="Heading2"/>
    <w:rsid w:val="00DB7B87"/>
    <w:rPr>
      <w:sz w:val="22"/>
      <w:szCs w:val="22"/>
      <w:lang w:val="hu-HU" w:eastAsia="en-US"/>
    </w:rPr>
  </w:style>
  <w:style w:type="character" w:customStyle="1" w:styleId="Heading3Char">
    <w:name w:val="Heading 3 Char"/>
    <w:basedOn w:val="DefaultParagraphFont"/>
    <w:link w:val="Heading3"/>
    <w:rsid w:val="00DB7B87"/>
    <w:rPr>
      <w:sz w:val="22"/>
      <w:szCs w:val="22"/>
      <w:lang w:val="hu-HU" w:eastAsia="en-US"/>
    </w:rPr>
  </w:style>
  <w:style w:type="character" w:customStyle="1" w:styleId="Heading4Char">
    <w:name w:val="Heading 4 Char"/>
    <w:basedOn w:val="DefaultParagraphFont"/>
    <w:link w:val="Heading4"/>
    <w:rsid w:val="00DB7B87"/>
    <w:rPr>
      <w:sz w:val="22"/>
      <w:szCs w:val="22"/>
      <w:lang w:val="hu-HU" w:eastAsia="en-US"/>
    </w:rPr>
  </w:style>
  <w:style w:type="character" w:customStyle="1" w:styleId="Heading5Char">
    <w:name w:val="Heading 5 Char"/>
    <w:basedOn w:val="DefaultParagraphFont"/>
    <w:link w:val="Heading5"/>
    <w:rsid w:val="00DB7B87"/>
    <w:rPr>
      <w:sz w:val="22"/>
      <w:szCs w:val="22"/>
      <w:lang w:val="hu-HU" w:eastAsia="en-US"/>
    </w:rPr>
  </w:style>
  <w:style w:type="character" w:customStyle="1" w:styleId="Heading6Char">
    <w:name w:val="Heading 6 Char"/>
    <w:basedOn w:val="DefaultParagraphFont"/>
    <w:link w:val="Heading6"/>
    <w:rsid w:val="00DB7B87"/>
    <w:rPr>
      <w:sz w:val="22"/>
      <w:szCs w:val="22"/>
      <w:lang w:val="hu-HU" w:eastAsia="en-US"/>
    </w:rPr>
  </w:style>
  <w:style w:type="character" w:customStyle="1" w:styleId="Heading7Char">
    <w:name w:val="Heading 7 Char"/>
    <w:basedOn w:val="DefaultParagraphFont"/>
    <w:link w:val="Heading7"/>
    <w:rsid w:val="00DB7B87"/>
    <w:rPr>
      <w:sz w:val="22"/>
      <w:szCs w:val="22"/>
      <w:lang w:val="hu-HU" w:eastAsia="en-US"/>
    </w:rPr>
  </w:style>
  <w:style w:type="character" w:customStyle="1" w:styleId="Heading8Char">
    <w:name w:val="Heading 8 Char"/>
    <w:basedOn w:val="DefaultParagraphFont"/>
    <w:link w:val="Heading8"/>
    <w:rsid w:val="00DB7B87"/>
    <w:rPr>
      <w:sz w:val="22"/>
      <w:szCs w:val="22"/>
      <w:lang w:val="hu-HU" w:eastAsia="en-US"/>
    </w:rPr>
  </w:style>
  <w:style w:type="character" w:customStyle="1" w:styleId="Heading9Char">
    <w:name w:val="Heading 9 Char"/>
    <w:basedOn w:val="DefaultParagraphFont"/>
    <w:link w:val="Heading9"/>
    <w:rsid w:val="00DB7B87"/>
    <w:rPr>
      <w:sz w:val="22"/>
      <w:szCs w:val="22"/>
      <w:lang w:val="hu-HU" w:eastAsia="en-US"/>
    </w:rPr>
  </w:style>
  <w:style w:type="paragraph" w:styleId="Footer">
    <w:name w:val="footer"/>
    <w:basedOn w:val="Normal"/>
    <w:link w:val="FooterChar"/>
    <w:qFormat/>
    <w:rsid w:val="00960918"/>
  </w:style>
  <w:style w:type="character" w:customStyle="1" w:styleId="FooterChar">
    <w:name w:val="Footer Char"/>
    <w:basedOn w:val="DefaultParagraphFont"/>
    <w:link w:val="Footer"/>
    <w:rsid w:val="00DB7B87"/>
    <w:rPr>
      <w:sz w:val="22"/>
      <w:szCs w:val="22"/>
      <w:lang w:val="hu-HU" w:eastAsia="en-US"/>
    </w:rPr>
  </w:style>
  <w:style w:type="paragraph" w:styleId="FootnoteText">
    <w:name w:val="footnote text"/>
    <w:basedOn w:val="Normal"/>
    <w:link w:val="FootnoteTextChar"/>
    <w:qFormat/>
    <w:rsid w:val="00960918"/>
    <w:pPr>
      <w:keepLines/>
      <w:spacing w:after="60" w:line="240" w:lineRule="auto"/>
      <w:ind w:left="567" w:hanging="567"/>
    </w:pPr>
    <w:rPr>
      <w:sz w:val="16"/>
    </w:rPr>
  </w:style>
  <w:style w:type="character" w:customStyle="1" w:styleId="FootnoteTextChar">
    <w:name w:val="Footnote Text Char"/>
    <w:basedOn w:val="DefaultParagraphFont"/>
    <w:link w:val="FootnoteText"/>
    <w:rsid w:val="00DB7B87"/>
    <w:rPr>
      <w:sz w:val="16"/>
      <w:szCs w:val="22"/>
      <w:lang w:val="hu-HU" w:eastAsia="en-US"/>
    </w:rPr>
  </w:style>
  <w:style w:type="paragraph" w:styleId="Header">
    <w:name w:val="header"/>
    <w:basedOn w:val="Normal"/>
    <w:link w:val="HeaderChar"/>
    <w:qFormat/>
    <w:rsid w:val="00960918"/>
  </w:style>
  <w:style w:type="character" w:customStyle="1" w:styleId="HeaderChar">
    <w:name w:val="Header Char"/>
    <w:basedOn w:val="DefaultParagraphFont"/>
    <w:link w:val="Header"/>
    <w:rsid w:val="00DB7B87"/>
    <w:rPr>
      <w:sz w:val="22"/>
      <w:szCs w:val="22"/>
      <w:lang w:val="hu-HU" w:eastAsia="en-US"/>
    </w:rPr>
  </w:style>
  <w:style w:type="paragraph" w:customStyle="1" w:styleId="quotes">
    <w:name w:val="quotes"/>
    <w:basedOn w:val="Normal"/>
    <w:next w:val="Normal"/>
    <w:rsid w:val="00960918"/>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Ref"/>
    <w:basedOn w:val="DefaultParagraphFont"/>
    <w:unhideWhenUsed/>
    <w:qFormat/>
    <w:rsid w:val="00960918"/>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cs="Arial"/>
      <w:b/>
      <w:bCs/>
      <w:i/>
      <w:iCs/>
      <w:sz w:val="20"/>
    </w:rPr>
  </w:style>
  <w:style w:type="paragraph" w:styleId="ListParagraph">
    <w:name w:val="List Paragraph"/>
    <w:basedOn w:val="Normal"/>
    <w:uiPriority w:val="34"/>
    <w:qFormat/>
    <w:rsid w:val="003B2BB4"/>
    <w:pPr>
      <w:ind w:left="720"/>
      <w:contextualSpacing/>
    </w:pPr>
  </w:style>
  <w:style w:type="paragraph" w:styleId="BalloonText">
    <w:name w:val="Balloon Text"/>
    <w:basedOn w:val="Normal"/>
    <w:link w:val="BalloonTextChar"/>
    <w:semiHidden/>
    <w:unhideWhenUsed/>
    <w:rsid w:val="005557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55781"/>
    <w:rPr>
      <w:rFonts w:ascii="Segoe UI" w:hAnsi="Segoe UI" w:cs="Segoe UI"/>
      <w:sz w:val="18"/>
      <w:szCs w:val="18"/>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mportal.cor.europa.e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emportal.cor.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4HZEMHAC3EDJ-6-3871</_dlc_DocId>
    <_dlc_DocIdUrl xmlns="fa50c78c-f4f4-481c-9f4f-2304ef344578">
      <Url>http://dm/CoR/2018/_layouts/DocIdRedir.aspx?ID=4HZEMHAC3EDJ-6-3871</Url>
      <Description>4HZEMHAC3EDJ-6-3871</Description>
    </_dlc_DocIdUrl>
    <MeetingNumber xmlns="630a089e-9401-48cd-90d5-992b2b191573">20</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fa50c78c-f4f4-481c-9f4f-2304ef344578">2018/0191(COD)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2018-10-01T12:00:00+00:00</ProductionDate>
    <DocumentNumber xmlns="630a089e-9401-48cd-90d5-992b2b191573">3950</DocumentNumber>
    <FicheYear xmlns="fa50c78c-f4f4-481c-9f4f-2304ef344578">2018</FicheYear>
    <DocumentVersion xmlns="fa50c78c-f4f4-481c-9f4f-2304ef344578">0</DocumentVersion>
    <DossierNumber xmlns="fa50c78c-f4f4-481c-9f4f-2304ef344578">43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2018-10-18T12:00:00+00:00</MeetingDate>
    <TaxCatchAll xmlns="fa50c78c-f4f4-481c-9f4f-2304ef344578">
      <Value>34</Value>
      <Value>32</Value>
      <Value>40</Value>
      <Value>39</Value>
      <Value>38</Value>
      <Value>37</Value>
      <Value>36</Value>
      <Value>35</Value>
      <Value>30</Value>
      <Value>33</Value>
      <Value>79</Value>
      <Value>31</Value>
      <Value>73</Value>
      <Value>29</Value>
      <Value>28</Value>
      <Value>27</Value>
      <Value>26</Value>
      <Value>23</Value>
      <Value>19</Value>
      <Value>18</Value>
      <Value>17</Value>
      <Value>15</Value>
      <Value>13</Value>
      <Value>11</Value>
      <Value>7</Value>
      <Value>5</Value>
      <Value>4</Value>
      <Value>50</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fa50c78c-f4f4-481c-9f4f-2304ef344578">HILLER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fa50c78c-f4f4-481c-9f4f-2304ef344578">9081</FicheNumber>
    <DocumentYear xmlns="fa50c78c-f4f4-481c-9f4f-2304ef344578">2018</DocumentYear>
    <AdoptionDate xmlns="fa50c78c-f4f4-481c-9f4f-2304ef344578" xsi:nil="tru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9dc7ca8b-742b-490e-a49f-907d997f3e13</TermId>
        </TermInfo>
      </Terms>
    </MeetingName_0>
    <RequestingService xmlns="fa50c78c-f4f4-481c-9f4f-2304ef344578">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2872905104DE74EB9DE3D3D1B2A4698" ma:contentTypeVersion="4" ma:contentTypeDescription="Defines the documents for Document Manager V2" ma:contentTypeScope="" ma:versionID="02101454e2b454f7e2d8b05662665a52">
  <xsd:schema xmlns:xsd="http://www.w3.org/2001/XMLSchema" xmlns:xs="http://www.w3.org/2001/XMLSchema" xmlns:p="http://schemas.microsoft.com/office/2006/metadata/properties" xmlns:ns2="fa50c78c-f4f4-481c-9f4f-2304ef344578" xmlns:ns3="http://schemas.microsoft.com/sharepoint/v3/fields" xmlns:ns4="630a089e-9401-48cd-90d5-992b2b191573" targetNamespace="http://schemas.microsoft.com/office/2006/metadata/properties" ma:root="true" ma:fieldsID="d8d4d83b5bc79c09b517e8e121474d75" ns2:_="" ns3:_="" ns4:_="">
    <xsd:import namespace="fa50c78c-f4f4-481c-9f4f-2304ef344578"/>
    <xsd:import namespace="http://schemas.microsoft.com/sharepoint/v3/fields"/>
    <xsd:import namespace="630a089e-9401-48cd-90d5-992b2b19157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a089e-9401-48cd-90d5-992b2b191573"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9723E-761D-442D-96D6-6D55ED17E5F3}"/>
</file>

<file path=customXml/itemProps2.xml><?xml version="1.0" encoding="utf-8"?>
<ds:datastoreItem xmlns:ds="http://schemas.openxmlformats.org/officeDocument/2006/customXml" ds:itemID="{1671F4DC-B618-441C-970E-B71C69155454}"/>
</file>

<file path=customXml/itemProps3.xml><?xml version="1.0" encoding="utf-8"?>
<ds:datastoreItem xmlns:ds="http://schemas.openxmlformats.org/officeDocument/2006/customXml" ds:itemID="{681D82DB-30A5-4B83-8BEF-C2CB6F3F3BD0}"/>
</file>

<file path=customXml/itemProps4.xml><?xml version="1.0" encoding="utf-8"?>
<ds:datastoreItem xmlns:ds="http://schemas.openxmlformats.org/officeDocument/2006/customXml" ds:itemID="{68A1E007-2B41-4D84-AE19-0BD4E812E361}"/>
</file>

<file path=docProps/app.xml><?xml version="1.0" encoding="utf-8"?>
<Properties xmlns="http://schemas.openxmlformats.org/officeDocument/2006/extended-properties" xmlns:vt="http://schemas.openxmlformats.org/officeDocument/2006/docPropsVTypes">
  <Template>Styles.dotm</Template>
  <TotalTime>2</TotalTime>
  <Pages>27</Pages>
  <Words>9290</Words>
  <Characters>52954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CoR PA Model</vt:lpstr>
    </vt:vector>
  </TitlesOfParts>
  <Company>CESE-CdR</Company>
  <LinksUpToDate>false</LinksUpToDate>
  <CharactersWithSpaces>62120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Oktatási, képzési, ifjúsági és sportprogram</dc:title>
  <dc:creator>Emma Nieddu</dc:creator>
  <cp:keywords>COR-2018-03950-00-00-PA-TRA-DE</cp:keywords>
  <dc:description>Rapporteur: HILLER - Original language: DE - Date of document: 01/10/2018 - Date of meeting: 18/10/2018 - External documents: SWD(2018)276-final - Administrator: MME Mäkäräinen Pauliina Laura</dc:description>
  <cp:lastModifiedBy>nkli</cp:lastModifiedBy>
  <cp:revision>6</cp:revision>
  <cp:lastPrinted>2018-09-19T09:43:00Z</cp:lastPrinted>
  <dcterms:created xsi:type="dcterms:W3CDTF">2018-09-19T16:18:00Z</dcterms:created>
  <dcterms:modified xsi:type="dcterms:W3CDTF">2018-10-01T13:58:00Z</dcterms:modified>
  <cp:category>SEDEC-VI/43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7" name="Pref_formatted">
    <vt:bool>true</vt:bool>
  </property>
  <property fmtid="{D5CDD505-2E9C-101B-9397-08002B2CF9AE}" pid="8" name="Pref_Date">
    <vt:lpwstr>19/09/2018</vt:lpwstr>
  </property>
  <property fmtid="{D5CDD505-2E9C-101B-9397-08002B2CF9AE}" pid="9" name="Pref_Time">
    <vt:lpwstr>16:46:39</vt:lpwstr>
  </property>
  <property fmtid="{D5CDD505-2E9C-101B-9397-08002B2CF9AE}" pid="10" name="Pref_User">
    <vt:lpwstr>mkop</vt:lpwstr>
  </property>
  <property fmtid="{D5CDD505-2E9C-101B-9397-08002B2CF9AE}" pid="11" name="Pref_FileName">
    <vt:lpwstr>COR-2018-03950-00-00-PA-TRA-DE-CRR.docx</vt:lpwstr>
  </property>
  <property fmtid="{D5CDD505-2E9C-101B-9397-08002B2CF9AE}" pid="12" name="ContentTypeId">
    <vt:lpwstr>0x010100EA97B91038054C99906057A708A1480A0022872905104DE74EB9DE3D3D1B2A4698</vt:lpwstr>
  </property>
  <property fmtid="{D5CDD505-2E9C-101B-9397-08002B2CF9AE}" pid="13" name="_dlc_DocIdItemGuid">
    <vt:lpwstr>28eb39e2-e72a-498a-ab0b-505422485a7d</vt:lpwstr>
  </property>
  <property fmtid="{D5CDD505-2E9C-101B-9397-08002B2CF9AE}" pid="14" name="MeetingNumber">
    <vt:i4>20</vt:i4>
  </property>
  <property fmtid="{D5CDD505-2E9C-101B-9397-08002B2CF9AE}" pid="15" name="DocumentType_0">
    <vt:lpwstr>PA|ef6fd07e-7d84-45ad-8a75-9a9414a8759c</vt:lpwstr>
  </property>
  <property fmtid="{D5CDD505-2E9C-101B-9397-08002B2CF9AE}" pid="16" name="Procedure">
    <vt:lpwstr>2018/0191(COD)</vt:lpwstr>
  </property>
  <property fmtid="{D5CDD505-2E9C-101B-9397-08002B2CF9AE}" pid="17" name="AvailableTranslations">
    <vt:lpwstr>38;#ET|ff6c3f4c-b02c-4c3c-ab07-2c37995a7a0a;#15;#EL|6d4f4d51-af9b-4650-94b4-4276bee85c91;#30;#LV|46f7e311-5d9f-4663-b433-18aeccb7ace7;#23;#FR|d2afafd3-4c81-4f60-8f52-ee33f2f54ff3;#26;#MT|7df99101-6854-4a26-b53a-b88c0da02c26;#31;#IT|0774613c-01ed-4e5d-a25d-11d2388de825;#17;#HU|6b229040-c589-4408-b4c1-4285663d20a8;#37;#SK|46d9fce0-ef79-4f71-b89b-cd6aa82426b8;#40;#LT|a7ff5ce7-6123-4f68-865a-a57c31810414;#35;#RO|feb747a2-64cd-4299-af12-4833ddc30497;#4;#EN|f2175f21-25d7-44a3-96da-d6a61b075e1b;#27;#NL|55c6556c-b4f4-441d-9acf-c498d4f838bd;#39;#CS|72f9705b-0217-4fd3-bea2-cbc7ed80e26e;#29;#BG|1a1b3951-7821-4e6a-85f5-5673fc08bd2c;#18;#SV|c2ed69e7-a339-43d7-8f22-d93680a92aa0;#34;#SL|98a412ae-eb01-49e9-ae3d-585a81724cfc;#19;#PL|1e03da61-4678-4e07-b136-b5024ca9197b;#28;#PT|50ccc04a-eadd-42ae-a0cb-acaf45f812ba;#36;#DA|5d49c027-8956-412b-aa16-e85a0f96ad0e;#11;#ES|e7a6b05b-ae16-40c8-add9-68b64b03aeba;#13;#DE|f6b31e5a-26fa-4935-b661-318e46daf27e;#33;#HR|2f555653-ed1a-4fe6-8362-9082d95989e5;#32;#FI|87606a43-d45f-42d6-b8c9-e1a3457db5b7</vt:lpwstr>
  </property>
  <property fmtid="{D5CDD505-2E9C-101B-9397-08002B2CF9AE}" pid="18" name="DossierName_0">
    <vt:lpwstr>SEDEC-VI|f06eb240-9dba-4299-813c-b6d38e9a15c0</vt:lpwstr>
  </property>
  <property fmtid="{D5CDD505-2E9C-101B-9397-08002B2CF9AE}" pid="19" name="DocumentSource_0">
    <vt:lpwstr>CoR|cb2d75ef-4a7d-4393-b797-49ed6298a5ea</vt:lpwstr>
  </property>
  <property fmtid="{D5CDD505-2E9C-101B-9397-08002B2CF9AE}" pid="20" name="FicheYear">
    <vt:i4>2018</vt:i4>
  </property>
  <property fmtid="{D5CDD505-2E9C-101B-9397-08002B2CF9AE}" pid="21" name="DocumentNumber">
    <vt:i4>3950</vt:i4>
  </property>
  <property fmtid="{D5CDD505-2E9C-101B-9397-08002B2CF9AE}" pid="22" name="DocumentVersion">
    <vt:i4>0</vt:i4>
  </property>
  <property fmtid="{D5CDD505-2E9C-101B-9397-08002B2CF9AE}" pid="23" name="DossierNumber">
    <vt:i4>43</vt:i4>
  </property>
  <property fmtid="{D5CDD505-2E9C-101B-9397-08002B2CF9AE}" pid="24" name="DocumentSource">
    <vt:lpwstr>1;#CoR|cb2d75ef-4a7d-4393-b797-49ed6298a5ea</vt:lpwstr>
  </property>
  <property fmtid="{D5CDD505-2E9C-101B-9397-08002B2CF9AE}" pid="26" name="DocumentType">
    <vt:lpwstr>79;#PA|ef6fd07e-7d84-45ad-8a75-9a9414a8759c</vt:lpwstr>
  </property>
  <property fmtid="{D5CDD505-2E9C-101B-9397-08002B2CF9AE}" pid="27" name="DocumentStatus">
    <vt:lpwstr>2;#TRA|150d2a88-1431-44e6-a8ca-0bb753ab8672</vt:lpwstr>
  </property>
  <property fmtid="{D5CDD505-2E9C-101B-9397-08002B2CF9AE}" pid="28" name="DossierName">
    <vt:lpwstr>73;#SEDEC-VI|f06eb240-9dba-4299-813c-b6d38e9a15c0</vt:lpwstr>
  </property>
  <property fmtid="{D5CDD505-2E9C-101B-9397-08002B2CF9AE}" pid="29" name="DocumentPart">
    <vt:i4>0</vt:i4>
  </property>
  <property fmtid="{D5CDD505-2E9C-101B-9397-08002B2CF9AE}" pid="30" name="RequestingService">
    <vt:lpwstr>Commission SEDEC</vt:lpwstr>
  </property>
  <property fmtid="{D5CDD505-2E9C-101B-9397-08002B2CF9AE}" pid="31" name="Confidentiality">
    <vt:lpwstr>5;#Unrestricted|826e22d7-d029-4ec0-a450-0c28ff673572</vt:lpwstr>
  </property>
  <property fmtid="{D5CDD505-2E9C-101B-9397-08002B2CF9AE}" pid="32" name="Confidentiality_0">
    <vt:lpwstr>Unrestricted|826e22d7-d029-4ec0-a450-0c28ff673572</vt:lpwstr>
  </property>
  <property fmtid="{D5CDD505-2E9C-101B-9397-08002B2CF9AE}" pid="33" name="MeetingName_0">
    <vt:lpwstr>SEDEC-VI|9dc7ca8b-742b-490e-a49f-907d997f3e13</vt:lpwstr>
  </property>
  <property fmtid="{D5CDD505-2E9C-101B-9397-08002B2CF9AE}" pid="34" name="OriginalLanguage">
    <vt:lpwstr>13;#DE|f6b31e5a-26fa-4935-b661-318e46daf27e</vt:lpwstr>
  </property>
  <property fmtid="{D5CDD505-2E9C-101B-9397-08002B2CF9AE}" pid="35" name="MeetingName">
    <vt:lpwstr>50;#SEDEC-VI|9dc7ca8b-742b-490e-a49f-907d997f3e13</vt:lpwstr>
  </property>
  <property fmtid="{D5CDD505-2E9C-101B-9397-08002B2CF9AE}" pid="36" name="DocumentStatus_0">
    <vt:lpwstr>TRA|150d2a88-1431-44e6-a8ca-0bb753ab8672</vt:lpwstr>
  </property>
  <property fmtid="{D5CDD505-2E9C-101B-9397-08002B2CF9AE}" pid="37" name="OriginalLanguage_0">
    <vt:lpwstr>DE|f6b31e5a-26fa-4935-b661-318e46daf27e</vt:lpwstr>
  </property>
  <property fmtid="{D5CDD505-2E9C-101B-9397-08002B2CF9AE}" pid="38" name="MeetingDate">
    <vt:filetime>2018-10-18T12:00:00Z</vt:filetime>
  </property>
  <property fmtid="{D5CDD505-2E9C-101B-9397-08002B2CF9AE}" pid="39" name="TaxCatchAll">
    <vt:lpwstr>39;#CS|72f9705b-0217-4fd3-bea2-cbc7ed80e26e;#37;#SK|46d9fce0-ef79-4f71-b89b-cd6aa82426b8;#36;#DA|5d49c027-8956-412b-aa16-e85a0f96ad0e;#35;#RO|feb747a2-64cd-4299-af12-4833ddc30497;#34;#SL|98a412ae-eb01-49e9-ae3d-585a81724cfc;#33;#HR|2f555653-ed1a-4fe6-8362-9082d95989e5;#79;#PA|ef6fd07e-7d84-45ad-8a75-9a9414a8759c;#73;#SEDEC-VI|f06eb240-9dba-4299-813c-b6d38e9a15c0;#29;#BG|1a1b3951-7821-4e6a-85f5-5673fc08bd2c;#28;#PT|50ccc04a-eadd-42ae-a0cb-acaf45f812ba;#27;#NL|55c6556c-b4f4-441d-9acf-c498d4f838bd;#26;#MT|7df99101-6854-4a26-b53a-b88c0da02c26;#23;#FR|d2afafd3-4c81-4f60-8f52-ee33f2f54ff3;#19;#PL|1e03da61-4678-4e07-b136-b5024ca9197b;#13;#DE|f6b31e5a-26fa-4935-b661-318e46daf27e;#11;#ES|e7a6b05b-ae16-40c8-add9-68b64b03aeba;#7;#Final|ea5e6674-7b27-4bac-b091-73adbb394efe;#5;#Unrestricted|826e22d7-d029-4ec0-a450-0c28ff673572;#50;#SEDEC-VI|9dc7ca8b-742b-490e-a49f-907d997f3e13;#2;#TRA|150d2a88-1431-44e6-a8ca-0bb753ab8672;#1;#CoR|cb2d75ef-4a7d-4393-b797-49ed6298a5ea</vt:lpwstr>
  </property>
  <property fmtid="{D5CDD505-2E9C-101B-9397-08002B2CF9AE}" pid="40" name="AvailableTranslations_0">
    <vt:lpwstr>FR|d2afafd3-4c81-4f60-8f52-ee33f2f54ff3;MT|7df99101-6854-4a26-b53a-b88c0da02c26;SK|46d9fce0-ef79-4f71-b89b-cd6aa82426b8;RO|feb747a2-64cd-4299-af12-4833ddc30497;NL|55c6556c-b4f4-441d-9acf-c498d4f838bd;CS|72f9705b-0217-4fd3-bea2-cbc7ed80e26e;BG|1a1b3951-7821-4e6a-85f5-5673fc08bd2c;SL|98a412ae-eb01-49e9-ae3d-585a81724cfc;PL|1e03da61-4678-4e07-b136-b5024ca9197b;PT|50ccc04a-eadd-42ae-a0cb-acaf45f812ba;DA|5d49c027-8956-412b-aa16-e85a0f96ad0e;ES|e7a6b05b-ae16-40c8-add9-68b64b03aeba;DE|f6b31e5a-26fa-4935-b661-318e46daf27e;HR|2f555653-ed1a-4fe6-8362-9082d95989e5</vt:lpwstr>
  </property>
  <property fmtid="{D5CDD505-2E9C-101B-9397-08002B2CF9AE}" pid="41" name="VersionStatus">
    <vt:lpwstr>7;#Final|ea5e6674-7b27-4bac-b091-73adbb394efe</vt:lpwstr>
  </property>
  <property fmtid="{D5CDD505-2E9C-101B-9397-08002B2CF9AE}" pid="42" name="Rapporteur">
    <vt:lpwstr>HILLER</vt:lpwstr>
  </property>
  <property fmtid="{D5CDD505-2E9C-101B-9397-08002B2CF9AE}" pid="43" name="VersionStatus_0">
    <vt:lpwstr>Final|ea5e6674-7b27-4bac-b091-73adbb394efe</vt:lpwstr>
  </property>
  <property fmtid="{D5CDD505-2E9C-101B-9397-08002B2CF9AE}" pid="44" name="FicheNumber">
    <vt:i4>9081</vt:i4>
  </property>
  <property fmtid="{D5CDD505-2E9C-101B-9397-08002B2CF9AE}" pid="45" name="DocumentYear">
    <vt:i4>2018</vt:i4>
  </property>
  <property fmtid="{D5CDD505-2E9C-101B-9397-08002B2CF9AE}" pid="46" name="DocumentLanguage">
    <vt:lpwstr>17;#HU|6b229040-c589-4408-b4c1-4285663d20a8</vt:lpwstr>
  </property>
</Properties>
</file>