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559" w:rsidRDefault="00013559" w:rsidP="00013559">
      <w:pPr>
        <w:jc w:val="center"/>
        <w:rPr>
          <w:lang w:val="en-US"/>
        </w:rPr>
      </w:pPr>
      <w:bookmarkStart w:id="0" w:name="_GoBack"/>
      <w:bookmarkEnd w:id="0"/>
      <w:r w:rsidRPr="00013559">
        <w:rPr>
          <w:lang w:val="en-US"/>
        </w:rPr>
        <w:t xml:space="preserve">Comments on </w:t>
      </w:r>
    </w:p>
    <w:p w:rsidR="00013559" w:rsidRPr="006F157E" w:rsidRDefault="00013559" w:rsidP="00013559">
      <w:pPr>
        <w:jc w:val="center"/>
        <w:rPr>
          <w:b/>
          <w:bCs/>
          <w:sz w:val="28"/>
          <w:szCs w:val="28"/>
        </w:rPr>
      </w:pPr>
      <w:r w:rsidRPr="00013559">
        <w:rPr>
          <w:lang w:val="en-US"/>
        </w:rPr>
        <w:t xml:space="preserve">DRAFT OPINION </w:t>
      </w:r>
    </w:p>
    <w:p w:rsidR="00013559" w:rsidRPr="006F157E" w:rsidRDefault="00013559" w:rsidP="00013559">
      <w:pPr>
        <w:spacing w:line="240" w:lineRule="auto"/>
        <w:jc w:val="center"/>
        <w:rPr>
          <w:b/>
          <w:bCs/>
          <w:sz w:val="28"/>
          <w:szCs w:val="28"/>
        </w:rPr>
      </w:pPr>
      <w:r w:rsidRPr="006F157E">
        <w:rPr>
          <w:b/>
          <w:bCs/>
          <w:sz w:val="28"/>
          <w:szCs w:val="28"/>
        </w:rPr>
        <w:t>Strengthening STE(A)M education in the EU</w:t>
      </w:r>
    </w:p>
    <w:p w:rsidR="00520106" w:rsidRDefault="00520106"/>
    <w:p w:rsidR="00013559" w:rsidRDefault="00013559"/>
    <w:p w:rsidR="00013559" w:rsidRDefault="00013559">
      <w:r>
        <w:t>By Stephan Griebel, Business Development and Alliances at Texas Instruments Education Technology</w:t>
      </w:r>
    </w:p>
    <w:p w:rsidR="00013559" w:rsidRDefault="00013559"/>
    <w:p w:rsidR="00013559" w:rsidRDefault="00013559">
      <w:r>
        <w:t xml:space="preserve">4) … which in practice is </w:t>
      </w:r>
      <w:r w:rsidRPr="00013559">
        <w:rPr>
          <w:highlight w:val="yellow"/>
        </w:rPr>
        <w:t>multi-disciplinary</w:t>
      </w:r>
      <w:r>
        <w:t>.</w:t>
      </w:r>
    </w:p>
    <w:p w:rsidR="00013559" w:rsidRDefault="00013559">
      <w:r>
        <w:t>Inter-disciplinary might be a better term.</w:t>
      </w:r>
    </w:p>
    <w:p w:rsidR="00013559" w:rsidRDefault="00013559"/>
    <w:p w:rsidR="00013559" w:rsidRDefault="00013559">
      <w:r>
        <w:t>24) – new</w:t>
      </w:r>
    </w:p>
    <w:p w:rsidR="00DA227E" w:rsidRDefault="00DA227E">
      <w:proofErr w:type="spellStart"/>
      <w:r>
        <w:t>CoR</w:t>
      </w:r>
      <w:proofErr w:type="spellEnd"/>
      <w:r>
        <w:t xml:space="preserve"> urges the European Union to develop a </w:t>
      </w:r>
      <w:r w:rsidRPr="00013559">
        <w:t xml:space="preserve">Common European Framework of Reference for </w:t>
      </w:r>
      <w:r>
        <w:t xml:space="preserve">STEM (CEFR-STEM). </w:t>
      </w:r>
      <w:r w:rsidR="00013559">
        <w:t xml:space="preserve">The </w:t>
      </w:r>
      <w:r w:rsidR="00013559" w:rsidRPr="00013559">
        <w:t>Common European Framework of Reference for Languages</w:t>
      </w:r>
      <w:r w:rsidR="00013559">
        <w:t xml:space="preserve"> (CEFRL) has a proven successful approach to harmonize acquisition of foreign language skill</w:t>
      </w:r>
      <w:r>
        <w:t>s</w:t>
      </w:r>
      <w:r w:rsidR="00013559">
        <w:t xml:space="preserve">. </w:t>
      </w:r>
      <w:r>
        <w:t xml:space="preserve"> Today CEFRL is </w:t>
      </w:r>
      <w:r w:rsidRPr="00DA227E">
        <w:t>widely accepted as the European standard for grading an individual's language proficiency.</w:t>
      </w:r>
      <w:r>
        <w:t xml:space="preserve"> A comparable system for STEM education is missing. The benefit of such system would be multi-fold:</w:t>
      </w:r>
    </w:p>
    <w:p w:rsidR="00DA227E" w:rsidRDefault="00DA227E" w:rsidP="00DA227E">
      <w:pPr>
        <w:pStyle w:val="ListParagraph"/>
        <w:numPr>
          <w:ilvl w:val="0"/>
          <w:numId w:val="1"/>
        </w:numPr>
      </w:pPr>
      <w:r>
        <w:t xml:space="preserve">Common understanding of learning content and teaching practice; </w:t>
      </w:r>
    </w:p>
    <w:p w:rsidR="00D40BBB" w:rsidRDefault="00780B5C" w:rsidP="00780B5C">
      <w:pPr>
        <w:pStyle w:val="ListParagraph"/>
        <w:numPr>
          <w:ilvl w:val="0"/>
          <w:numId w:val="1"/>
        </w:numPr>
      </w:pPr>
      <w:r w:rsidRPr="00780B5C">
        <w:t>Prepare students to develop a common set of skills the industry is looking for, and make them digital ready and responsible qualified citizen</w:t>
      </w:r>
      <w:r w:rsidR="00D40BBB">
        <w:t>;</w:t>
      </w:r>
    </w:p>
    <w:p w:rsidR="00780B5C" w:rsidRDefault="00D40BBB" w:rsidP="00780B5C">
      <w:pPr>
        <w:pStyle w:val="ListParagraph"/>
        <w:numPr>
          <w:ilvl w:val="0"/>
          <w:numId w:val="1"/>
        </w:numPr>
      </w:pPr>
      <w:r>
        <w:t xml:space="preserve">Would pay into the idea of an </w:t>
      </w:r>
      <w:r w:rsidR="00780B5C" w:rsidRPr="00780B5C">
        <w:t xml:space="preserve">EU </w:t>
      </w:r>
      <w:r>
        <w:t>wide acknowledged “Skill Book”</w:t>
      </w:r>
      <w:r w:rsidR="00780B5C">
        <w:t>;</w:t>
      </w:r>
    </w:p>
    <w:p w:rsidR="00DA227E" w:rsidRDefault="00DA227E" w:rsidP="00DA227E">
      <w:pPr>
        <w:pStyle w:val="ListParagraph"/>
        <w:numPr>
          <w:ilvl w:val="0"/>
          <w:numId w:val="1"/>
        </w:numPr>
      </w:pPr>
      <w:r>
        <w:t>Comparability between school systems and methodologies;</w:t>
      </w:r>
    </w:p>
    <w:p w:rsidR="00DA227E" w:rsidRDefault="00DA227E" w:rsidP="00DA227E">
      <w:pPr>
        <w:pStyle w:val="ListParagraph"/>
        <w:numPr>
          <w:ilvl w:val="0"/>
          <w:numId w:val="1"/>
        </w:numPr>
      </w:pPr>
      <w:r>
        <w:t>Common understanding allows and easier exchange on best practices and to learn from each other;</w:t>
      </w:r>
    </w:p>
    <w:p w:rsidR="00DA227E" w:rsidRDefault="00DA227E" w:rsidP="00DA227E">
      <w:pPr>
        <w:pStyle w:val="ListParagraph"/>
        <w:numPr>
          <w:ilvl w:val="0"/>
          <w:numId w:val="1"/>
        </w:numPr>
      </w:pPr>
      <w:r>
        <w:t>Curricula and exams would synchronize over time, expectedly on higher level as today;</w:t>
      </w:r>
    </w:p>
    <w:p w:rsidR="00DA227E" w:rsidRDefault="00DA227E" w:rsidP="00DA227E">
      <w:pPr>
        <w:pStyle w:val="ListParagraph"/>
        <w:numPr>
          <w:ilvl w:val="0"/>
          <w:numId w:val="1"/>
        </w:numPr>
      </w:pPr>
      <w:r>
        <w:t>Individuals and families could easier migrate from one member country to another as their qualifications become more standardized.</w:t>
      </w:r>
    </w:p>
    <w:p w:rsidR="00DA227E" w:rsidRDefault="00DA227E" w:rsidP="00DA227E"/>
    <w:p w:rsidR="00DA227E" w:rsidRDefault="00DA227E">
      <w:r>
        <w:t>25) – new</w:t>
      </w:r>
      <w:r w:rsidR="00D87BB7">
        <w:t xml:space="preserve"> (or addition to 4)</w:t>
      </w:r>
    </w:p>
    <w:p w:rsidR="00DA227E" w:rsidRDefault="00D87BB7">
      <w:proofErr w:type="spellStart"/>
      <w:r>
        <w:t>CoR</w:t>
      </w:r>
      <w:proofErr w:type="spellEnd"/>
      <w:r>
        <w:t xml:space="preserve"> urges European Union to develop projects that </w:t>
      </w:r>
      <w:r w:rsidR="007F0809">
        <w:t>provide</w:t>
      </w:r>
      <w:r>
        <w:t xml:space="preserve"> incentives for reforms in teacher education. Current teacher education is still often bound to traditional curricular and subject structures, while future STEM education requires an inter-disciplinary (or multi-disciplinary) approach.</w:t>
      </w:r>
    </w:p>
    <w:p w:rsidR="00D87BB7" w:rsidRDefault="00D87BB7"/>
    <w:p w:rsidR="00D87BB7" w:rsidRDefault="00D87BB7">
      <w:r>
        <w:t>26) – new</w:t>
      </w:r>
    </w:p>
    <w:p w:rsidR="00D87BB7" w:rsidRDefault="00D87BB7">
      <w:proofErr w:type="spellStart"/>
      <w:r>
        <w:t>CoR</w:t>
      </w:r>
      <w:proofErr w:type="spellEnd"/>
      <w:r>
        <w:t xml:space="preserve"> urges European Union to develop projects that </w:t>
      </w:r>
      <w:r w:rsidR="007F0809">
        <w:t>provide</w:t>
      </w:r>
      <w:r>
        <w:t xml:space="preserve"> incentives </w:t>
      </w:r>
      <w:r w:rsidR="007F0809">
        <w:t xml:space="preserve">for initiatives which foster a culture of exchange and collaboration between teachers of the same school. </w:t>
      </w:r>
      <w:r>
        <w:t xml:space="preserve">Research results show (e.g. </w:t>
      </w:r>
      <w:r w:rsidRPr="00D87BB7">
        <w:t>STEM Education Practices Survey,</w:t>
      </w:r>
      <w:r>
        <w:t xml:space="preserve"> conducted by Scientix  </w:t>
      </w:r>
      <w:hyperlink r:id="rId5" w:history="1">
        <w:r w:rsidRPr="00DF679B">
          <w:rPr>
            <w:rStyle w:val="Hyperlink"/>
          </w:rPr>
          <w:t>http://www.scientix.eu/observatory/stem-education-practices-europe</w:t>
        </w:r>
      </w:hyperlink>
      <w:r>
        <w:t xml:space="preserve"> ) that teaching practices in Science are more innovative than typical math classes. </w:t>
      </w:r>
      <w:r w:rsidR="007F0809">
        <w:t>The same study shows that the first source of information for educators is their peers. Therefore an increased collaboration could be a stronger stimulus for change comparing to top-down approaches.</w:t>
      </w:r>
    </w:p>
    <w:p w:rsidR="00D87BB7" w:rsidRDefault="00D87BB7"/>
    <w:p w:rsidR="00D87BB7" w:rsidRDefault="007F0809">
      <w:r>
        <w:t>27) – new</w:t>
      </w:r>
      <w:r w:rsidR="00065F66">
        <w:t xml:space="preserve"> (or concretization of another paragraph</w:t>
      </w:r>
      <w:r w:rsidR="002673AD">
        <w:t>, e.g. 10</w:t>
      </w:r>
      <w:r w:rsidR="00065F66">
        <w:t>)</w:t>
      </w:r>
    </w:p>
    <w:p w:rsidR="007F0809" w:rsidRDefault="00065F66">
      <w:r>
        <w:lastRenderedPageBreak/>
        <w:t>Making and Coding are trendy topics,</w:t>
      </w:r>
      <w:r w:rsidR="002673AD">
        <w:t xml:space="preserve"> Makers Spaces, </w:t>
      </w:r>
      <w:proofErr w:type="spellStart"/>
      <w:r w:rsidR="002673AD">
        <w:t>FabLabs</w:t>
      </w:r>
      <w:proofErr w:type="spellEnd"/>
      <w:r w:rsidR="002673AD">
        <w:t xml:space="preserve">, DIY </w:t>
      </w:r>
      <w:r w:rsidR="00556DAB">
        <w:t>initiatives,</w:t>
      </w:r>
      <w:r w:rsidR="002673AD">
        <w:t xml:space="preserve"> Repair Cafes and other comparable are trending. </w:t>
      </w:r>
      <w:r>
        <w:t>European Union supports Codeweek.eu.</w:t>
      </w:r>
      <w:r w:rsidR="002673AD">
        <w:t xml:space="preserve"> </w:t>
      </w:r>
      <w:proofErr w:type="spellStart"/>
      <w:r w:rsidR="002673AD">
        <w:t>CoR</w:t>
      </w:r>
      <w:proofErr w:type="spellEnd"/>
      <w:r w:rsidR="002673AD">
        <w:t xml:space="preserve"> urges the European Union and its member states to take advantage of such extra-curricular offers.</w:t>
      </w:r>
    </w:p>
    <w:p w:rsidR="00D87BB7" w:rsidRDefault="00D87BB7"/>
    <w:p w:rsidR="002673AD" w:rsidRDefault="00556DAB">
      <w:r>
        <w:t>28) – new</w:t>
      </w:r>
    </w:p>
    <w:p w:rsidR="00556DAB" w:rsidRDefault="00556DAB">
      <w:proofErr w:type="spellStart"/>
      <w:r>
        <w:t>CoR</w:t>
      </w:r>
      <w:proofErr w:type="spellEnd"/>
      <w:r>
        <w:t xml:space="preserve"> urges policy makers</w:t>
      </w:r>
      <w:r w:rsidR="00507CFF">
        <w:t xml:space="preserve"> and curriculum boards on European level and in the </w:t>
      </w:r>
      <w:r>
        <w:t xml:space="preserve">member states to </w:t>
      </w:r>
      <w:r w:rsidR="00507CFF">
        <w:t xml:space="preserve">pay more attention to high stakes exams. </w:t>
      </w:r>
      <w:r>
        <w:t xml:space="preserve">The biggest normative effects on classroom implementation unfold high stakes exam regulations. Content and methodologies that are not reflected in the exam will not or only to little extend materialize in the classroom. </w:t>
      </w:r>
    </w:p>
    <w:p w:rsidR="00556DAB" w:rsidRDefault="00556DAB"/>
    <w:p w:rsidR="00507CFF" w:rsidRDefault="00507CFF">
      <w:r>
        <w:t>29) – new</w:t>
      </w:r>
    </w:p>
    <w:p w:rsidR="00507CFF" w:rsidRDefault="0087212F">
      <w:proofErr w:type="spellStart"/>
      <w:r>
        <w:t>CoR</w:t>
      </w:r>
      <w:proofErr w:type="spellEnd"/>
      <w:r>
        <w:t xml:space="preserve"> urges policy makers to ensure fair market entry for all interested economical partners. </w:t>
      </w:r>
      <w:r w:rsidR="00507CFF">
        <w:t xml:space="preserve">Educational publishing industry and educational software vendors have elaborated and efficient content development, project management and quality insurance mechanisms in place. Public subsidies for OER should be </w:t>
      </w:r>
      <w:r w:rsidR="00F7213B">
        <w:t xml:space="preserve">temporarily granted and </w:t>
      </w:r>
      <w:r w:rsidR="00507CFF">
        <w:t xml:space="preserve">limited to cases where private offers are underdeveloped. Commercial offers must not </w:t>
      </w:r>
      <w:r w:rsidR="00F7213B">
        <w:t xml:space="preserve">be </w:t>
      </w:r>
      <w:r w:rsidR="00507CFF">
        <w:t>excluded systematically from market participation by the design of market access conditions.</w:t>
      </w:r>
      <w:r w:rsidR="00F7213B">
        <w:t xml:space="preserve"> European Union should develop program to stimulate educational start-up companies.</w:t>
      </w:r>
    </w:p>
    <w:p w:rsidR="00013559" w:rsidRDefault="00013559"/>
    <w:p w:rsidR="0087212F" w:rsidRDefault="00346844">
      <w:r>
        <w:t>30) – new</w:t>
      </w:r>
    </w:p>
    <w:p w:rsidR="00346844" w:rsidRDefault="00346844">
      <w:proofErr w:type="spellStart"/>
      <w:r>
        <w:t>CoR</w:t>
      </w:r>
      <w:proofErr w:type="spellEnd"/>
      <w:r>
        <w:t xml:space="preserve"> recommends to carefully </w:t>
      </w:r>
      <w:r w:rsidR="00346C1F">
        <w:t xml:space="preserve">further </w:t>
      </w:r>
      <w:r>
        <w:t>develop the STEM</w:t>
      </w:r>
      <w:r w:rsidR="00346C1F">
        <w:t xml:space="preserve"> inventory (</w:t>
      </w:r>
      <w:r>
        <w:t xml:space="preserve">specific </w:t>
      </w:r>
      <w:r w:rsidR="00346C1F">
        <w:t xml:space="preserve">tools and equipment) used in schools. </w:t>
      </w:r>
      <w:r>
        <w:t xml:space="preserve">In STEM education a wide variety of </w:t>
      </w:r>
      <w:proofErr w:type="spellStart"/>
      <w:r>
        <w:t>analog</w:t>
      </w:r>
      <w:proofErr w:type="spellEnd"/>
      <w:r>
        <w:t xml:space="preserve"> and digital manipulatives, data collection and laboratory tools have been developed and are in daily practical use. These reflect the specific needs of STEM educators. Future curricular developments, exam policies and funding should reflect the continuous value of such purpose built technologies, while enriching classroom experience with additional new media.</w:t>
      </w:r>
    </w:p>
    <w:p w:rsidR="0087212F" w:rsidRPr="00507CFF" w:rsidRDefault="0087212F"/>
    <w:p w:rsidR="00013559" w:rsidRDefault="00013559"/>
    <w:sectPr w:rsidR="000135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E69AD"/>
    <w:multiLevelType w:val="hybridMultilevel"/>
    <w:tmpl w:val="8FD68C64"/>
    <w:lvl w:ilvl="0" w:tplc="8C54D420">
      <w:start w:val="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59"/>
    <w:rsid w:val="00013559"/>
    <w:rsid w:val="00065F66"/>
    <w:rsid w:val="000F607F"/>
    <w:rsid w:val="002673AD"/>
    <w:rsid w:val="0033470D"/>
    <w:rsid w:val="00346844"/>
    <w:rsid w:val="00346C1F"/>
    <w:rsid w:val="003B2FA4"/>
    <w:rsid w:val="00507CFF"/>
    <w:rsid w:val="00520106"/>
    <w:rsid w:val="00556DAB"/>
    <w:rsid w:val="00780B5C"/>
    <w:rsid w:val="007F0809"/>
    <w:rsid w:val="0087212F"/>
    <w:rsid w:val="00D40BBB"/>
    <w:rsid w:val="00D87BB7"/>
    <w:rsid w:val="00DA227E"/>
    <w:rsid w:val="00F72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6BA70-8A7E-4A7E-B64D-85EDF565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559"/>
    <w:pPr>
      <w:spacing w:line="288" w:lineRule="auto"/>
      <w:jc w:val="both"/>
    </w:pPr>
    <w:rPr>
      <w:rFonts w:ascii="Times New Roman" w:eastAsia="Times New Roman" w:hAnsi="Times New Roman" w:cs="Times New Roman"/>
      <w:lang w:val="en-GB"/>
    </w:rPr>
  </w:style>
  <w:style w:type="paragraph" w:styleId="Heading1">
    <w:name w:val="heading 1"/>
    <w:basedOn w:val="Normal"/>
    <w:link w:val="Heading1Char"/>
    <w:uiPriority w:val="9"/>
    <w:qFormat/>
    <w:rsid w:val="00013559"/>
    <w:pPr>
      <w:spacing w:before="100" w:beforeAutospacing="1" w:after="100" w:afterAutospacing="1" w:line="240" w:lineRule="auto"/>
      <w:jc w:val="left"/>
      <w:outlineLvl w:val="0"/>
    </w:pPr>
    <w:rPr>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55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DA227E"/>
    <w:pPr>
      <w:ind w:left="720"/>
      <w:contextualSpacing/>
    </w:pPr>
  </w:style>
  <w:style w:type="character" w:styleId="Hyperlink">
    <w:name w:val="Hyperlink"/>
    <w:basedOn w:val="DefaultParagraphFont"/>
    <w:uiPriority w:val="99"/>
    <w:unhideWhenUsed/>
    <w:rsid w:val="00D87B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ientix.eu/observatory/stem-education-practices-euro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Griebel, Stephan</dc:creator>
  <cp:lastModifiedBy>Dobos Erika</cp:lastModifiedBy>
  <cp:revision>2</cp:revision>
  <dcterms:created xsi:type="dcterms:W3CDTF">2019-03-19T08:23:00Z</dcterms:created>
  <dcterms:modified xsi:type="dcterms:W3CDTF">2019-03-19T08:23:00Z</dcterms:modified>
</cp:coreProperties>
</file>