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FC13A" w14:textId="77777777" w:rsidR="00CB6705" w:rsidRDefault="00CB6705" w:rsidP="00CB6705">
      <w:pPr>
        <w:rPr>
          <w:lang w:val="nl-BE"/>
        </w:rPr>
      </w:pPr>
      <w:r>
        <w:rPr>
          <w:lang w:val="nl-BE"/>
        </w:rPr>
        <w:t>Dear Sir or Madam,</w:t>
      </w:r>
    </w:p>
    <w:p w14:paraId="0674B7B9" w14:textId="77777777" w:rsidR="00CB6705" w:rsidRDefault="00CB6705" w:rsidP="00CB6705">
      <w:pPr>
        <w:rPr>
          <w:lang w:val="nl-BE"/>
        </w:rPr>
      </w:pPr>
    </w:p>
    <w:p w14:paraId="46B8EC07" w14:textId="77777777" w:rsidR="00CB6705" w:rsidRDefault="00CB6705" w:rsidP="00CB6705">
      <w:r>
        <w:t>Following the stakeholder consultation on Strengthening STE(A)M education in the EU today, I have a few comments I would like to add which I hope could be useful:</w:t>
      </w:r>
    </w:p>
    <w:p w14:paraId="3F43AEBF" w14:textId="77777777" w:rsidR="00CB6705" w:rsidRDefault="00CB6705" w:rsidP="00CB6705"/>
    <w:p w14:paraId="2293A5F0" w14:textId="77777777" w:rsidR="00CB6705" w:rsidRDefault="00CB6705" w:rsidP="00CB6705">
      <w:pPr>
        <w:numPr>
          <w:ilvl w:val="0"/>
          <w:numId w:val="1"/>
        </w:numPr>
        <w:spacing w:line="288" w:lineRule="auto"/>
        <w:jc w:val="both"/>
        <w:rPr>
          <w:rFonts w:eastAsia="Times New Roman"/>
        </w:rPr>
      </w:pPr>
      <w:r>
        <w:rPr>
          <w:rFonts w:eastAsia="Times New Roman"/>
        </w:rPr>
        <w:t>Promoting STEM to students (especially girls) from primary school all the way through to higher education is essential. However, we should not forget about the leaky pipeline phenomenon for girls that occurs during their transition from education to employment. Only a third of women STEM graduates from tertiary education end up in STEM occupations compared to half of male graduates. For vocational education, this number is even lower. This issue is crucial when we want to address the lack of women in STEM occupations. It shows that it is not only an issue of education, but also of work environment and the (lack of) attractiveness of STEM jobs. The effective implementation of work-life balance and provision of adequate and affordable care services is essential in this regard.</w:t>
      </w:r>
    </w:p>
    <w:p w14:paraId="1551A5C8" w14:textId="77777777" w:rsidR="00CB6705" w:rsidRDefault="00CB6705" w:rsidP="00CB6705">
      <w:pPr>
        <w:numPr>
          <w:ilvl w:val="0"/>
          <w:numId w:val="1"/>
        </w:numPr>
        <w:spacing w:line="288" w:lineRule="auto"/>
        <w:jc w:val="both"/>
        <w:rPr>
          <w:rFonts w:eastAsia="Times New Roman"/>
        </w:rPr>
      </w:pPr>
      <w:r>
        <w:rPr>
          <w:rFonts w:eastAsia="Times New Roman"/>
        </w:rPr>
        <w:t>Entrepreneurship education is a perfect example that can help empower girls and boys to make their own well-informed career choices and which can be really useful for a career in STEM.</w:t>
      </w:r>
    </w:p>
    <w:p w14:paraId="7851A8F8" w14:textId="77777777" w:rsidR="00CB6705" w:rsidRDefault="00CB6705" w:rsidP="00CB6705">
      <w:pPr>
        <w:numPr>
          <w:ilvl w:val="0"/>
          <w:numId w:val="1"/>
        </w:numPr>
        <w:spacing w:line="288" w:lineRule="auto"/>
        <w:jc w:val="both"/>
        <w:rPr>
          <w:rFonts w:eastAsia="Times New Roman"/>
        </w:rPr>
      </w:pPr>
      <w:r>
        <w:rPr>
          <w:rFonts w:eastAsia="Times New Roman"/>
        </w:rPr>
        <w:t>The local aspect and bottom-up approach is extremely important in our opinion. Employers and education and training providers have a key role to play in promoting the acquisition of STEM skills. Stronger cooperation between business and education is essential in increasing the number of STEM qualified people, especially women, including through addressing gender stereotypes in STEM. The involvement of STEM teachers and employers in the design of education policies and curricula as well as strong social dialogue between social partners and education policy makers and providers are crucial in this regard. Companies, including innovative start-ups and other SMEs, can play an important role in the identification of STEM skills needs and the teaching and promotion of STEM skills, e.g. through apprenticeships, hybrid teachers (for example, engineers working in companies that go to schools or training centres a couple of days a week to teach) or promotion days in schools. Local and regional authorities could support the abovementioned cooperation and partnerships whilst respecting the social partners’ autonomy. All of the above would increase the effectiveness of the STEM approach and promote local and regional interests.</w:t>
      </w:r>
    </w:p>
    <w:p w14:paraId="6FCC1E96" w14:textId="77777777" w:rsidR="00CB6705" w:rsidRDefault="00CB6705" w:rsidP="00CB6705">
      <w:pPr>
        <w:numPr>
          <w:ilvl w:val="0"/>
          <w:numId w:val="1"/>
        </w:numPr>
        <w:spacing w:line="288" w:lineRule="auto"/>
        <w:jc w:val="both"/>
        <w:rPr>
          <w:rFonts w:eastAsia="Times New Roman"/>
        </w:rPr>
      </w:pPr>
      <w:r>
        <w:rPr>
          <w:rFonts w:eastAsia="Times New Roman"/>
        </w:rPr>
        <w:t xml:space="preserve">Having STEM skills is no longer sufficient on its own, there is also an increasing need for transversal and soft skills in STEM occupations, such as creativity, team work, communication and problem solving. Vocational education and training </w:t>
      </w:r>
      <w:proofErr w:type="gramStart"/>
      <w:r>
        <w:rPr>
          <w:rFonts w:eastAsia="Times New Roman"/>
        </w:rPr>
        <w:t>provides</w:t>
      </w:r>
      <w:proofErr w:type="gramEnd"/>
      <w:r>
        <w:rPr>
          <w:rFonts w:eastAsia="Times New Roman"/>
        </w:rPr>
        <w:t xml:space="preserve"> a way to tackle this since it often provides a mix of transversal and occupation-specific training.</w:t>
      </w:r>
    </w:p>
    <w:p w14:paraId="04BE614C" w14:textId="77777777" w:rsidR="00CB6705" w:rsidRDefault="00CB6705" w:rsidP="00CB6705">
      <w:pPr>
        <w:numPr>
          <w:ilvl w:val="0"/>
          <w:numId w:val="1"/>
        </w:numPr>
        <w:spacing w:line="288" w:lineRule="auto"/>
        <w:jc w:val="both"/>
        <w:rPr>
          <w:rFonts w:eastAsia="Times New Roman"/>
        </w:rPr>
      </w:pPr>
      <w:r>
        <w:rPr>
          <w:rFonts w:eastAsia="Times New Roman"/>
        </w:rPr>
        <w:t>Since STEM skills and digital skills are closely associated, STEM skills actions should be embedded in the digital skills agenda in order to ensure coordinated progress on both fronts.</w:t>
      </w:r>
    </w:p>
    <w:p w14:paraId="16A75D61" w14:textId="77777777" w:rsidR="00CB6705" w:rsidRDefault="00CB6705" w:rsidP="00CB6705"/>
    <w:p w14:paraId="2DB611A1" w14:textId="77777777" w:rsidR="00CB6705" w:rsidRDefault="00CB6705" w:rsidP="00CB6705">
      <w:r>
        <w:t xml:space="preserve">Thank you for having invited </w:t>
      </w:r>
      <w:proofErr w:type="spellStart"/>
      <w:r>
        <w:t>SMEunited</w:t>
      </w:r>
      <w:proofErr w:type="spellEnd"/>
      <w:r>
        <w:t>!</w:t>
      </w:r>
    </w:p>
    <w:p w14:paraId="3CCF1A97" w14:textId="77777777" w:rsidR="00CB6705" w:rsidRDefault="00CB6705" w:rsidP="00CB6705"/>
    <w:p w14:paraId="703BE92C" w14:textId="77777777" w:rsidR="00CB6705" w:rsidRDefault="00CB6705" w:rsidP="00CB6705">
      <w:pPr>
        <w:rPr>
          <w:lang w:val="nl-BE"/>
        </w:rPr>
      </w:pPr>
      <w:r>
        <w:rPr>
          <w:lang w:val="nl-BE"/>
        </w:rPr>
        <w:t>Best regards,</w:t>
      </w:r>
    </w:p>
    <w:p w14:paraId="456D206A" w14:textId="77777777" w:rsidR="00CB6705" w:rsidRDefault="00CB6705" w:rsidP="00CB6705">
      <w:pPr>
        <w:rPr>
          <w:lang w:val="nl-BE"/>
        </w:rPr>
      </w:pPr>
    </w:p>
    <w:p w14:paraId="06815DD9" w14:textId="77777777" w:rsidR="00CB6705" w:rsidRDefault="00CB6705" w:rsidP="00CB6705">
      <w:pPr>
        <w:rPr>
          <w:rFonts w:ascii="Century Gothic" w:hAnsi="Century Gothic"/>
          <w:color w:val="333399"/>
          <w:sz w:val="20"/>
          <w:szCs w:val="20"/>
          <w:lang w:val="nl-BE" w:eastAsia="en-GB"/>
        </w:rPr>
      </w:pPr>
      <w:r>
        <w:rPr>
          <w:rFonts w:ascii="Century Gothic" w:hAnsi="Century Gothic"/>
          <w:color w:val="333399"/>
          <w:sz w:val="20"/>
          <w:szCs w:val="20"/>
          <w:lang w:val="nl-BE" w:eastAsia="en-GB"/>
        </w:rPr>
        <w:t>Silke Van den Bogaert</w:t>
      </w:r>
    </w:p>
    <w:p w14:paraId="2BFA116B" w14:textId="77777777" w:rsidR="00CB6705" w:rsidRDefault="00CB6705" w:rsidP="00CB6705">
      <w:pPr>
        <w:rPr>
          <w:rFonts w:ascii="Century Gothic" w:hAnsi="Century Gothic"/>
          <w:color w:val="333399"/>
          <w:sz w:val="20"/>
          <w:szCs w:val="20"/>
          <w:lang w:eastAsia="en-GB"/>
        </w:rPr>
      </w:pPr>
      <w:r>
        <w:rPr>
          <w:rFonts w:ascii="Century Gothic" w:hAnsi="Century Gothic"/>
          <w:color w:val="333399"/>
          <w:sz w:val="20"/>
          <w:szCs w:val="20"/>
          <w:lang w:eastAsia="en-GB"/>
        </w:rPr>
        <w:t>Social Affairs Policy Adviser</w:t>
      </w:r>
    </w:p>
    <w:p w14:paraId="337B0991" w14:textId="77777777" w:rsidR="00C2788C" w:rsidRDefault="00C2788C">
      <w:bookmarkStart w:id="0" w:name="_GoBack"/>
      <w:bookmarkEnd w:id="0"/>
    </w:p>
    <w:sectPr w:rsidR="00C278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B509F"/>
    <w:multiLevelType w:val="multilevel"/>
    <w:tmpl w:val="477A6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05"/>
    <w:rsid w:val="00C2788C"/>
    <w:rsid w:val="00CB6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D189"/>
  <w15:chartTrackingRefBased/>
  <w15:docId w15:val="{68C7FC94-6F2D-4882-BAB5-25B75785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70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7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Dobos Erika</dc:creator>
  <cp:keywords/>
  <dc:description/>
  <cp:lastModifiedBy>Dobos Erika</cp:lastModifiedBy>
  <cp:revision>1</cp:revision>
  <dcterms:created xsi:type="dcterms:W3CDTF">2019-03-19T08:18:00Z</dcterms:created>
  <dcterms:modified xsi:type="dcterms:W3CDTF">2019-03-19T08:23:00Z</dcterms:modified>
</cp:coreProperties>
</file>