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9" w:type="dxa"/>
        <w:tblLayout w:type="fixed"/>
        <w:tblLook w:val="0000" w:firstRow="0" w:lastRow="0" w:firstColumn="0" w:lastColumn="0" w:noHBand="0" w:noVBand="0"/>
      </w:tblPr>
      <w:tblGrid>
        <w:gridCol w:w="4644"/>
        <w:gridCol w:w="4645"/>
      </w:tblGrid>
      <w:tr w:rsidR="00C1694E" w:rsidRPr="001B33A4" w14:paraId="3C80CAD3" w14:textId="77777777" w:rsidTr="00555B82">
        <w:trPr>
          <w:cantSplit/>
        </w:trPr>
        <w:tc>
          <w:tcPr>
            <w:tcW w:w="4644" w:type="dxa"/>
          </w:tcPr>
          <w:p w14:paraId="5A540C5E" w14:textId="77777777" w:rsidR="00C1694E" w:rsidRDefault="00C1694E" w:rsidP="00555B82">
            <w:r w:rsidRPr="00E660F8">
              <w:rPr>
                <w:noProof/>
              </w:rPr>
              <w:drawing>
                <wp:inline distT="0" distB="0" distL="0" distR="0" wp14:anchorId="12C7ABA0" wp14:editId="110FDC57">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2" name="Picture 2" title="CoRLogo_EN"/>
                          <pic:cNvPicPr/>
                        </pic:nvPicPr>
                        <pic:blipFill>
                          <a:blip r:embed="rId8"/>
                          <a:stretch>
                            <a:fillRect/>
                          </a:stretch>
                        </pic:blipFill>
                        <pic:spPr>
                          <a:xfrm>
                            <a:off x="0" y="0"/>
                            <a:ext cx="1799590" cy="1558290"/>
                          </a:xfrm>
                          <a:prstGeom prst="rect">
                            <a:avLst/>
                          </a:prstGeom>
                        </pic:spPr>
                      </pic:pic>
                    </a:graphicData>
                  </a:graphic>
                </wp:inline>
              </w:drawing>
            </w:r>
          </w:p>
          <w:p w14:paraId="656B5D25" w14:textId="77777777" w:rsidR="00C1694E" w:rsidRDefault="00C1694E" w:rsidP="00555B82"/>
          <w:p w14:paraId="62E13CF7" w14:textId="77777777" w:rsidR="00C1694E" w:rsidRDefault="00C1694E" w:rsidP="00555B82"/>
          <w:p w14:paraId="75ECB87A" w14:textId="77777777" w:rsidR="00C1694E" w:rsidRPr="001B33A4" w:rsidRDefault="00C1694E" w:rsidP="00555B82"/>
        </w:tc>
        <w:tc>
          <w:tcPr>
            <w:tcW w:w="4645" w:type="dxa"/>
          </w:tcPr>
          <w:p w14:paraId="156E1DFA" w14:textId="77777777" w:rsidR="00C1694E" w:rsidRPr="001B33A4" w:rsidRDefault="00C1694E" w:rsidP="00555B82"/>
        </w:tc>
      </w:tr>
    </w:tbl>
    <w:p w14:paraId="33F1D3AD" w14:textId="77777777" w:rsidR="00C1694E" w:rsidRPr="00334D96" w:rsidRDefault="00C1694E" w:rsidP="00C1694E"/>
    <w:p w14:paraId="5F525136" w14:textId="77777777" w:rsidR="00C1694E" w:rsidRPr="00334D96" w:rsidRDefault="00C1694E" w:rsidP="00C1694E"/>
    <w:p w14:paraId="74027BC0" w14:textId="6FE723BC" w:rsidR="00C1694E" w:rsidRPr="00C1694E" w:rsidRDefault="00C1694E" w:rsidP="00C1694E">
      <w:pPr>
        <w:jc w:val="center"/>
        <w:rPr>
          <w:b/>
          <w:bCs/>
          <w:sz w:val="40"/>
          <w:szCs w:val="40"/>
        </w:rPr>
      </w:pPr>
      <w:r w:rsidRPr="00C1694E">
        <w:rPr>
          <w:b/>
          <w:sz w:val="40"/>
          <w:szCs w:val="40"/>
        </w:rPr>
        <w:t>WORKING DOCUMENT</w:t>
      </w:r>
    </w:p>
    <w:p w14:paraId="1E526D9D" w14:textId="77777777" w:rsidR="00C1694E" w:rsidRPr="00F015D7" w:rsidRDefault="00C1694E" w:rsidP="00C1694E"/>
    <w:p w14:paraId="5B43D30F" w14:textId="77777777" w:rsidR="00C1694E" w:rsidRPr="00852E6B" w:rsidRDefault="00C1694E" w:rsidP="00C1694E">
      <w:pPr>
        <w:ind w:left="1134" w:right="1134"/>
        <w:jc w:val="center"/>
        <w:rPr>
          <w:b/>
          <w:sz w:val="24"/>
          <w:szCs w:val="24"/>
        </w:rPr>
      </w:pPr>
      <w:r w:rsidRPr="00852E6B">
        <w:rPr>
          <w:b/>
          <w:sz w:val="24"/>
          <w:szCs w:val="24"/>
        </w:rPr>
        <w:t>Commission for Social Policy, Education,</w:t>
      </w:r>
    </w:p>
    <w:p w14:paraId="5404DB09" w14:textId="77777777" w:rsidR="00C1694E" w:rsidRPr="00F015D7" w:rsidRDefault="00C1694E" w:rsidP="00C1694E">
      <w:pPr>
        <w:ind w:left="1134" w:right="1134"/>
        <w:jc w:val="center"/>
        <w:rPr>
          <w:b/>
          <w:sz w:val="28"/>
        </w:rPr>
      </w:pPr>
      <w:r w:rsidRPr="00852E6B">
        <w:rPr>
          <w:b/>
          <w:sz w:val="24"/>
          <w:szCs w:val="24"/>
        </w:rPr>
        <w:t>Employment, Research and Culture</w:t>
      </w:r>
    </w:p>
    <w:p w14:paraId="5953DA62" w14:textId="77777777" w:rsidR="00C1694E" w:rsidRPr="00F015D7" w:rsidRDefault="00C1694E" w:rsidP="00C1694E">
      <w:pPr>
        <w:ind w:left="1134" w:right="1134"/>
        <w:jc w:val="center"/>
        <w:rPr>
          <w:b/>
          <w:sz w:val="28"/>
          <w:szCs w:val="28"/>
        </w:rPr>
      </w:pPr>
    </w:p>
    <w:p w14:paraId="00EDD3F2" w14:textId="2F44B1D5" w:rsidR="00C1694E" w:rsidRPr="00852E6B" w:rsidRDefault="00C1694E" w:rsidP="00C1694E">
      <w:pPr>
        <w:jc w:val="center"/>
        <w:rPr>
          <w:sz w:val="36"/>
          <w:szCs w:val="36"/>
        </w:rPr>
      </w:pPr>
      <w:r>
        <w:rPr>
          <w:b/>
          <w:sz w:val="36"/>
          <w:szCs w:val="36"/>
        </w:rPr>
        <w:t>A</w:t>
      </w:r>
      <w:r w:rsidR="008F5F96">
        <w:rPr>
          <w:b/>
          <w:sz w:val="36"/>
          <w:szCs w:val="36"/>
        </w:rPr>
        <w:t>gora</w:t>
      </w:r>
      <w:r>
        <w:rPr>
          <w:b/>
          <w:sz w:val="36"/>
          <w:szCs w:val="36"/>
        </w:rPr>
        <w:t>EU</w:t>
      </w:r>
    </w:p>
    <w:p w14:paraId="3EE8A56F" w14:textId="77777777" w:rsidR="00C1694E" w:rsidRPr="00334D96" w:rsidRDefault="00C1694E" w:rsidP="00C1694E">
      <w:pPr>
        <w:jc w:val="left"/>
      </w:pPr>
    </w:p>
    <w:p w14:paraId="7E1F67D7" w14:textId="77777777" w:rsidR="00C1694E" w:rsidRPr="00334D96" w:rsidRDefault="00C1694E" w:rsidP="00C1694E"/>
    <w:tbl>
      <w:tblPr>
        <w:tblW w:w="5000" w:type="pct"/>
        <w:tblLook w:val="0000" w:firstRow="0" w:lastRow="0" w:firstColumn="0" w:lastColumn="0" w:noHBand="0" w:noVBand="0"/>
      </w:tblPr>
      <w:tblGrid>
        <w:gridCol w:w="9073"/>
      </w:tblGrid>
      <w:tr w:rsidR="00C1694E" w:rsidRPr="00334D96" w14:paraId="56C58311" w14:textId="77777777" w:rsidTr="00555B82">
        <w:tc>
          <w:tcPr>
            <w:tcW w:w="5000" w:type="pct"/>
          </w:tcPr>
          <w:p w14:paraId="15DFAA94" w14:textId="77777777" w:rsidR="00C1694E" w:rsidRPr="008F5F96" w:rsidRDefault="00C1694E" w:rsidP="00555B82">
            <w:pPr>
              <w:jc w:val="center"/>
              <w:rPr>
                <w:lang w:val="en-GB"/>
              </w:rPr>
            </w:pPr>
            <w:r w:rsidRPr="008F5F96">
              <w:rPr>
                <w:lang w:val="en-GB"/>
              </w:rPr>
              <w:t>___________</w:t>
            </w:r>
          </w:p>
          <w:p w14:paraId="409FB2D4" w14:textId="77777777" w:rsidR="00C1694E" w:rsidRPr="008F5F96" w:rsidRDefault="00C1694E" w:rsidP="00555B82">
            <w:pPr>
              <w:jc w:val="center"/>
              <w:rPr>
                <w:lang w:val="en-GB"/>
              </w:rPr>
            </w:pPr>
          </w:p>
          <w:p w14:paraId="499C384C" w14:textId="5F211569" w:rsidR="00C1694E" w:rsidRPr="00C1694E" w:rsidRDefault="00C1694E" w:rsidP="00555B82">
            <w:pPr>
              <w:jc w:val="center"/>
              <w:rPr>
                <w:b/>
                <w:lang w:val="en-GB"/>
              </w:rPr>
            </w:pPr>
            <w:r w:rsidRPr="00C1694E">
              <w:rPr>
                <w:lang w:val="en-GB"/>
              </w:rPr>
              <w:t>Rapporteur: Csaba Borboly</w:t>
            </w:r>
            <w:r w:rsidRPr="00C1694E">
              <w:rPr>
                <w:b/>
                <w:lang w:val="en-GB"/>
              </w:rPr>
              <w:t xml:space="preserve"> (RO/EPP)</w:t>
            </w:r>
          </w:p>
          <w:p w14:paraId="092887D1" w14:textId="1EA3A770" w:rsidR="00C1694E" w:rsidRPr="00DB3A80" w:rsidRDefault="00C1694E" w:rsidP="00555B82">
            <w:pPr>
              <w:jc w:val="center"/>
            </w:pPr>
            <w:r w:rsidRPr="00C1694E">
              <w:t>Vice-president of the Harghita County Council</w:t>
            </w:r>
          </w:p>
          <w:p w14:paraId="72EF05FC" w14:textId="77777777" w:rsidR="00C1694E" w:rsidRPr="00334D96" w:rsidRDefault="00C1694E" w:rsidP="00555B82">
            <w:pPr>
              <w:jc w:val="center"/>
            </w:pPr>
            <w:r>
              <w:t>___________</w:t>
            </w:r>
          </w:p>
        </w:tc>
      </w:tr>
    </w:tbl>
    <w:p w14:paraId="7241FA04" w14:textId="77777777" w:rsidR="00C1694E" w:rsidRPr="00334D96" w:rsidRDefault="00C1694E" w:rsidP="00C1694E">
      <w:pPr>
        <w:jc w:val="left"/>
      </w:pPr>
    </w:p>
    <w:p w14:paraId="6821594C" w14:textId="77777777" w:rsidR="00C1694E" w:rsidRPr="00334D96" w:rsidRDefault="00C1694E" w:rsidP="00C1694E">
      <w:pPr>
        <w:jc w:val="left"/>
      </w:pPr>
    </w:p>
    <w:p w14:paraId="626B9D89" w14:textId="77777777" w:rsidR="00C1694E" w:rsidRPr="00334D96" w:rsidRDefault="00C1694E" w:rsidP="00C1694E">
      <w:pPr>
        <w:jc w:val="left"/>
      </w:pPr>
    </w:p>
    <w:p w14:paraId="5587844F" w14:textId="77777777" w:rsidR="00C1694E" w:rsidRPr="00334D96" w:rsidRDefault="00C1694E" w:rsidP="00C1694E">
      <w:pPr>
        <w:jc w:val="left"/>
      </w:pPr>
    </w:p>
    <w:p w14:paraId="4AEBA7FC" w14:textId="77777777" w:rsidR="00C1694E" w:rsidRPr="00334D96" w:rsidRDefault="00C1694E" w:rsidP="00C1694E">
      <w:pPr>
        <w:jc w:val="left"/>
      </w:pPr>
    </w:p>
    <w:p w14:paraId="4D984DDB" w14:textId="77777777" w:rsidR="00C1694E" w:rsidRPr="00334D96" w:rsidRDefault="00C1694E" w:rsidP="00C1694E">
      <w:pPr>
        <w:jc w:val="left"/>
      </w:pPr>
    </w:p>
    <w:p w14:paraId="66EFA632" w14:textId="77777777" w:rsidR="00C1694E" w:rsidRPr="00334D96" w:rsidRDefault="00C1694E" w:rsidP="00C1694E">
      <w:pPr>
        <w:jc w:val="left"/>
      </w:pPr>
    </w:p>
    <w:p w14:paraId="0477E13F" w14:textId="77777777" w:rsidR="00C1694E" w:rsidRDefault="00C1694E" w:rsidP="00C1694E">
      <w:pPr>
        <w:rPr>
          <w:lang w:val="fr-BE"/>
        </w:rPr>
      </w:pPr>
    </w:p>
    <w:p w14:paraId="1BCC14B4" w14:textId="77777777" w:rsidR="00C1694E" w:rsidRPr="00C1694E" w:rsidRDefault="00C1694E" w:rsidP="00C1694E">
      <w:pPr>
        <w:rPr>
          <w:lang w:val="en-GB"/>
        </w:rPr>
      </w:pPr>
    </w:p>
    <w:p w14:paraId="48CB678A" w14:textId="77777777" w:rsidR="00C1694E" w:rsidRPr="00C1694E" w:rsidRDefault="00C1694E" w:rsidP="00C1694E">
      <w:pPr>
        <w:rPr>
          <w:lang w:val="en-GB"/>
        </w:rPr>
      </w:pPr>
    </w:p>
    <w:p w14:paraId="1E95F032" w14:textId="77777777" w:rsidR="00C1694E" w:rsidRPr="00C1694E" w:rsidRDefault="00C1694E" w:rsidP="00C1694E">
      <w:pPr>
        <w:rPr>
          <w:lang w:val="en-GB"/>
        </w:rPr>
      </w:pPr>
    </w:p>
    <w:p w14:paraId="3B2E2E43" w14:textId="77777777" w:rsidR="00C1694E" w:rsidRPr="00C1694E" w:rsidRDefault="00C1694E" w:rsidP="00C1694E">
      <w:pPr>
        <w:rPr>
          <w:lang w:val="en-GB"/>
        </w:rPr>
      </w:pPr>
    </w:p>
    <w:p w14:paraId="38553551" w14:textId="77777777" w:rsidR="00C1694E" w:rsidRPr="00C1694E" w:rsidRDefault="00C1694E" w:rsidP="00C1694E">
      <w:pPr>
        <w:rPr>
          <w:lang w:val="en-GB"/>
        </w:rPr>
      </w:pPr>
    </w:p>
    <w:p w14:paraId="553999F6" w14:textId="77777777" w:rsidR="00C1694E" w:rsidRPr="00C1694E" w:rsidRDefault="00C1694E" w:rsidP="00C1694E">
      <w:pPr>
        <w:rPr>
          <w:lang w:val="en-GB"/>
        </w:rPr>
      </w:pPr>
    </w:p>
    <w:p w14:paraId="77EBF759" w14:textId="77777777" w:rsidR="00C1694E" w:rsidRPr="00C1694E" w:rsidRDefault="00C1694E" w:rsidP="00C1694E">
      <w:pPr>
        <w:rPr>
          <w:lang w:val="en-GB"/>
        </w:rPr>
      </w:pPr>
    </w:p>
    <w:p w14:paraId="03C2FEC3" w14:textId="77777777" w:rsidR="00C1694E" w:rsidRPr="00C1694E" w:rsidRDefault="00C1694E" w:rsidP="00C1694E">
      <w:pPr>
        <w:rPr>
          <w:lang w:val="en-GB"/>
        </w:rPr>
      </w:pPr>
    </w:p>
    <w:p w14:paraId="1C65D156" w14:textId="77777777" w:rsidR="00C1694E" w:rsidRPr="00C1694E" w:rsidRDefault="00C1694E" w:rsidP="00C1694E">
      <w:pPr>
        <w:rPr>
          <w:lang w:val="en-GB"/>
        </w:rPr>
      </w:pPr>
    </w:p>
    <w:p w14:paraId="1EB1B167" w14:textId="77777777" w:rsidR="00C1694E" w:rsidRDefault="00C1694E" w:rsidP="00C1694E">
      <w:pPr>
        <w:rPr>
          <w:lang w:val="fr-BE"/>
        </w:rPr>
      </w:pPr>
    </w:p>
    <w:p w14:paraId="7D7E6980" w14:textId="74313284" w:rsidR="00C1694E" w:rsidRPr="00756181" w:rsidRDefault="00C1694E" w:rsidP="00C1694E">
      <w:pPr>
        <w:rPr>
          <w:b/>
          <w:bCs/>
          <w:sz w:val="32"/>
          <w:szCs w:val="32"/>
          <w:u w:val="single"/>
          <w:lang w:val="en-GB"/>
        </w:rPr>
      </w:pPr>
    </w:p>
    <w:p w14:paraId="4657DE6C" w14:textId="7141B9F7" w:rsidR="00C1694E" w:rsidRPr="00C1694E" w:rsidRDefault="00C1694E" w:rsidP="00C1694E">
      <w:r w:rsidRPr="00C1694E">
        <w:t xml:space="preserve">The European Commission’s proposal </w:t>
      </w:r>
      <w:proofErr w:type="gramStart"/>
      <w:r w:rsidRPr="00C1694E">
        <w:rPr>
          <w:b/>
          <w:bCs/>
        </w:rPr>
        <w:t>COM(</w:t>
      </w:r>
      <w:proofErr w:type="gramEnd"/>
      <w:r w:rsidRPr="00C1694E">
        <w:rPr>
          <w:b/>
          <w:bCs/>
        </w:rPr>
        <w:t>2025) 550 final</w:t>
      </w:r>
      <w:r w:rsidRPr="00C1694E">
        <w:t xml:space="preserve">, establishing the </w:t>
      </w:r>
      <w:r w:rsidRPr="00C1694E">
        <w:rPr>
          <w:b/>
          <w:bCs/>
        </w:rPr>
        <w:t xml:space="preserve">“AgoraEU” </w:t>
      </w:r>
      <w:proofErr w:type="spellStart"/>
      <w:r w:rsidRPr="00C1694E">
        <w:rPr>
          <w:b/>
          <w:bCs/>
        </w:rPr>
        <w:t>Programme</w:t>
      </w:r>
      <w:proofErr w:type="spellEnd"/>
      <w:r w:rsidRPr="00C1694E">
        <w:rPr>
          <w:b/>
          <w:bCs/>
        </w:rPr>
        <w:t xml:space="preserve"> (2028–2034)</w:t>
      </w:r>
      <w:r w:rsidRPr="00C1694E">
        <w:t xml:space="preserve">, introduces a unified framework that merges </w:t>
      </w:r>
      <w:r w:rsidRPr="00C1694E">
        <w:rPr>
          <w:i/>
          <w:iCs/>
        </w:rPr>
        <w:t>Creative Europe</w:t>
      </w:r>
      <w:r w:rsidRPr="00C1694E">
        <w:t xml:space="preserve"> and </w:t>
      </w:r>
      <w:r w:rsidRPr="00C1694E">
        <w:rPr>
          <w:i/>
          <w:iCs/>
        </w:rPr>
        <w:t>Citizens, Equality, Rights and Values (CERV)</w:t>
      </w:r>
      <w:r w:rsidRPr="00C1694E">
        <w:t xml:space="preserve"> into a single, flexible funding instrument. The </w:t>
      </w:r>
      <w:proofErr w:type="spellStart"/>
      <w:r w:rsidRPr="00C1694E">
        <w:t>programme’s</w:t>
      </w:r>
      <w:proofErr w:type="spellEnd"/>
      <w:r w:rsidRPr="00C1694E">
        <w:t xml:space="preserve"> overarching goal is to streamline EU action in the fields of culture, media, democracy, equality, rights, and values, while enhancing coherence, visibility, and impact. AgoraEU aims to strengthen Union values, democratic participation, cultural diversity, and media freedom, ensuring more efficient and consistent EU support across these domains.</w:t>
      </w:r>
    </w:p>
    <w:p w14:paraId="33FCB704" w14:textId="77777777" w:rsidR="00C1694E" w:rsidRPr="00C1694E" w:rsidRDefault="00C1694E" w:rsidP="00C1694E">
      <w:r w:rsidRPr="00C1694E">
        <w:t xml:space="preserve">The proposal identifies several </w:t>
      </w:r>
      <w:r w:rsidRPr="00C1694E">
        <w:rPr>
          <w:b/>
          <w:bCs/>
        </w:rPr>
        <w:t>key challenges</w:t>
      </w:r>
      <w:r w:rsidRPr="00C1694E">
        <w:t xml:space="preserve"> driving this reform. These include a growing erosion of democratic trust and attacks on the rule of law and civil society; fragility in the media sector marked by global platform dominance, ownership concentration, disinformation, and financial instability; and persistent fragmentation of the cultural and creative sectors. In addition, the proposal points to structural inequalities such as discrimination and gender-based violence, alongside underfunded equality measures. The rapid evolution of technology and the disruptive effects of artificial intelligence on cultural and media production further highlight the need for a coordinated EU response to these transnational issues.</w:t>
      </w:r>
    </w:p>
    <w:p w14:paraId="0105EFDF" w14:textId="2B62DAD2" w:rsidR="00C1694E" w:rsidRPr="00C1694E" w:rsidRDefault="00C1694E" w:rsidP="00C1694E">
      <w:r w:rsidRPr="00C1694E">
        <w:rPr>
          <w:b/>
          <w:bCs/>
        </w:rPr>
        <w:t>AgoraEU</w:t>
      </w:r>
      <w:r w:rsidRPr="00C1694E">
        <w:t xml:space="preserve"> is structured around three main strands. The </w:t>
      </w:r>
      <w:r w:rsidRPr="00C1694E">
        <w:rPr>
          <w:b/>
          <w:bCs/>
        </w:rPr>
        <w:t>Creative Europe – Culture</w:t>
      </w:r>
      <w:r w:rsidRPr="00C1694E">
        <w:t xml:space="preserve"> strand will foster cross-border cultural creation, mobility, and cooperation, broaden access to culture, and preserve Europe’s cultural heritage</w:t>
      </w:r>
      <w:r w:rsidRPr="00C1694E">
        <w:rPr>
          <w:lang w:val="en-GB"/>
        </w:rPr>
        <w:t>.</w:t>
      </w:r>
      <w:r>
        <w:rPr>
          <w:lang w:val="en-GB"/>
        </w:rPr>
        <w:t xml:space="preserve"> </w:t>
      </w:r>
      <w:r w:rsidRPr="00C1694E">
        <w:t xml:space="preserve">The </w:t>
      </w:r>
      <w:r w:rsidRPr="00C1694E">
        <w:rPr>
          <w:b/>
          <w:bCs/>
        </w:rPr>
        <w:t>MEDIA+</w:t>
      </w:r>
      <w:r w:rsidRPr="00C1694E">
        <w:t xml:space="preserve"> strand focuses on enhancing the competitiveness, innovation, and diversity of Europe’s audiovisual and gaming industries, while promoting media pluralism, protecting journalists, and combating disinformation. The third strand, </w:t>
      </w:r>
      <w:r w:rsidRPr="00C1694E">
        <w:rPr>
          <w:b/>
          <w:bCs/>
        </w:rPr>
        <w:t>CERV+ (Democracy, Citizens, Equality, Rights &amp; Values)</w:t>
      </w:r>
      <w:r w:rsidRPr="00C1694E">
        <w:t>, will advance fundamental rights, equality, and non-discrimination; combat gender-based and child violence; reinforce democratic participation and the rule of law; and uphold citizenship rights, including freedom of movement and voting rights. A cross-cutting pillar will link these strands to encourage civic engagement, innovation, and societal resilience.</w:t>
      </w:r>
    </w:p>
    <w:p w14:paraId="5BCFE233" w14:textId="2621D4F5" w:rsidR="00C1694E" w:rsidRPr="00C1694E" w:rsidRDefault="00C1694E" w:rsidP="00C1694E">
      <w:r w:rsidRPr="00C1694E">
        <w:t xml:space="preserve">Legally, the proposal is grounded in </w:t>
      </w:r>
      <w:r w:rsidRPr="00C1694E">
        <w:rPr>
          <w:b/>
          <w:bCs/>
        </w:rPr>
        <w:t>Articles 19(2), 21(2), 24, 167(5), 168(5), and 173(3) of the TFEU</w:t>
      </w:r>
      <w:r w:rsidRPr="00C1694E">
        <w:t xml:space="preserve">, and aligns with existing policy frameworks such as the </w:t>
      </w:r>
      <w:r w:rsidRPr="00C1694E">
        <w:rPr>
          <w:i/>
          <w:iCs/>
        </w:rPr>
        <w:t>European Democracy Action Plan</w:t>
      </w:r>
      <w:r w:rsidRPr="00C1694E">
        <w:t xml:space="preserve">, the </w:t>
      </w:r>
      <w:r w:rsidRPr="00C1694E">
        <w:rPr>
          <w:i/>
          <w:iCs/>
        </w:rPr>
        <w:t>Media Freedom Act</w:t>
      </w:r>
      <w:r w:rsidRPr="00C1694E">
        <w:t xml:space="preserve">, the </w:t>
      </w:r>
      <w:r w:rsidRPr="00C1694E">
        <w:rPr>
          <w:i/>
          <w:iCs/>
        </w:rPr>
        <w:t>Audiovisual Media Services Directive</w:t>
      </w:r>
      <w:r w:rsidRPr="00C1694E">
        <w:t xml:space="preserve">, the </w:t>
      </w:r>
      <w:r w:rsidRPr="00C1694E">
        <w:rPr>
          <w:i/>
          <w:iCs/>
        </w:rPr>
        <w:t>Union of Equality Strategies</w:t>
      </w:r>
      <w:r w:rsidRPr="00C1694E">
        <w:t xml:space="preserve">, the </w:t>
      </w:r>
      <w:r w:rsidRPr="00C1694E">
        <w:rPr>
          <w:i/>
          <w:iCs/>
        </w:rPr>
        <w:t>Culture Compass for Europe</w:t>
      </w:r>
      <w:r w:rsidRPr="00C1694E">
        <w:t xml:space="preserve">, the </w:t>
      </w:r>
      <w:r w:rsidRPr="00C1694E">
        <w:rPr>
          <w:i/>
          <w:iCs/>
        </w:rPr>
        <w:t>New European Bauhaus</w:t>
      </w:r>
      <w:r w:rsidRPr="00C1694E">
        <w:rPr>
          <w:i/>
          <w:iCs/>
          <w:lang w:val="en-GB"/>
        </w:rPr>
        <w:t xml:space="preserve"> </w:t>
      </w:r>
      <w:r>
        <w:rPr>
          <w:i/>
          <w:iCs/>
          <w:lang w:val="en-GB"/>
        </w:rPr>
        <w:t>and others</w:t>
      </w:r>
      <w:r w:rsidRPr="00C1694E">
        <w:t xml:space="preserve">. It contributes directly to the </w:t>
      </w:r>
      <w:proofErr w:type="gramStart"/>
      <w:r w:rsidRPr="00C1694E">
        <w:t>EU’s 2024–2029</w:t>
      </w:r>
      <w:proofErr w:type="gramEnd"/>
      <w:r w:rsidRPr="00C1694E">
        <w:t xml:space="preserve"> strategic priorities: supporting people, protecting democracy, fostering sustainable prosperity, and reinforcing Europe’s global role.</w:t>
      </w:r>
    </w:p>
    <w:p w14:paraId="5125B477" w14:textId="5A382AEB" w:rsidR="00C1694E" w:rsidRPr="00C1694E" w:rsidRDefault="00C1694E" w:rsidP="00C1694E">
      <w:r w:rsidRPr="00C1694E">
        <w:t xml:space="preserve">According to the </w:t>
      </w:r>
      <w:r w:rsidRPr="00C1694E">
        <w:rPr>
          <w:b/>
          <w:bCs/>
        </w:rPr>
        <w:t>evaluation and consultation results</w:t>
      </w:r>
      <w:r w:rsidRPr="00C1694E">
        <w:t>, which gathered over 5,800 responses, there is strong stakeholder support</w:t>
      </w:r>
      <w:r w:rsidRPr="00C1694E">
        <w:rPr>
          <w:lang w:val="en-GB"/>
        </w:rPr>
        <w:t>,</w:t>
      </w:r>
      <w:r>
        <w:rPr>
          <w:lang w:val="en-GB"/>
        </w:rPr>
        <w:t xml:space="preserve"> </w:t>
      </w:r>
      <w:r w:rsidRPr="00C1694E">
        <w:t>ranging from 80% to 90%</w:t>
      </w:r>
      <w:r w:rsidRPr="00C1694E">
        <w:rPr>
          <w:lang w:val="en-GB"/>
        </w:rPr>
        <w:t>,</w:t>
      </w:r>
      <w:r>
        <w:rPr>
          <w:lang w:val="en-GB"/>
        </w:rPr>
        <w:t xml:space="preserve"> </w:t>
      </w:r>
      <w:r w:rsidRPr="00C1694E">
        <w:t xml:space="preserve">for continued EU action in the fields of democracy, rights, and culture. Respondents, however, highlighted administrative burdens, fragmentation, and </w:t>
      </w:r>
      <w:proofErr w:type="spellStart"/>
      <w:r w:rsidRPr="00C1694E">
        <w:t>programme</w:t>
      </w:r>
      <w:proofErr w:type="spellEnd"/>
      <w:r w:rsidRPr="00C1694E">
        <w:t xml:space="preserve"> complexity as major challenges. Evaluations of both </w:t>
      </w:r>
      <w:r w:rsidRPr="00C1694E">
        <w:rPr>
          <w:i/>
          <w:iCs/>
        </w:rPr>
        <w:t>Creative Europe</w:t>
      </w:r>
      <w:r w:rsidRPr="00C1694E">
        <w:t xml:space="preserve"> and </w:t>
      </w:r>
      <w:r w:rsidRPr="00C1694E">
        <w:rPr>
          <w:i/>
          <w:iCs/>
        </w:rPr>
        <w:t>CERV</w:t>
      </w:r>
      <w:r w:rsidRPr="00C1694E">
        <w:t xml:space="preserve"> confirmed the EU’s added value in these areas but underscored the need for greater simplification and coordination.</w:t>
      </w:r>
    </w:p>
    <w:p w14:paraId="2E891ACA" w14:textId="77777777" w:rsidR="00C1694E" w:rsidRPr="00C1694E" w:rsidRDefault="00C1694E" w:rsidP="00C1694E">
      <w:r w:rsidRPr="00C1694E">
        <w:t xml:space="preserve">After assessing various design options, the Commission selected the </w:t>
      </w:r>
      <w:r w:rsidRPr="00C1694E">
        <w:rPr>
          <w:b/>
          <w:bCs/>
        </w:rPr>
        <w:t>“objective-based merger”</w:t>
      </w:r>
      <w:r w:rsidRPr="00C1694E">
        <w:t xml:space="preserve"> model as the most effective structure for AgoraEU. This approach allows for simplification and improved efficiency while maintaining the distinct policy focuses of each strand. It also ensures flexibility to respond swiftly to emerging crises, technological shifts, and new policy priorities.</w:t>
      </w:r>
    </w:p>
    <w:p w14:paraId="5CD57DE4" w14:textId="2AD37732" w:rsidR="00C1694E" w:rsidRPr="00C1694E" w:rsidRDefault="00C1694E" w:rsidP="00C1694E">
      <w:r w:rsidRPr="00C1694E">
        <w:t xml:space="preserve">The </w:t>
      </w:r>
      <w:r w:rsidRPr="00C1694E">
        <w:rPr>
          <w:b/>
          <w:bCs/>
        </w:rPr>
        <w:t>implementation and monitoring framework</w:t>
      </w:r>
      <w:r w:rsidRPr="00C1694E">
        <w:t xml:space="preserve"> foresees shared management between the European Commission and an Executive Agency. Funding will be simplified </w:t>
      </w:r>
      <w:proofErr w:type="gramStart"/>
      <w:r w:rsidRPr="00C1694E">
        <w:t>through the use of</w:t>
      </w:r>
      <w:proofErr w:type="gramEnd"/>
      <w:r w:rsidRPr="00C1694E">
        <w:t xml:space="preserve"> lump sums, multiannual grants, and support to third parties, with particular attention to SMEs, grassroots </w:t>
      </w:r>
      <w:proofErr w:type="spellStart"/>
      <w:r w:rsidRPr="00C1694E">
        <w:t>organisations</w:t>
      </w:r>
      <w:proofErr w:type="spellEnd"/>
      <w:r w:rsidRPr="00C1694E">
        <w:t xml:space="preserve">, and first-time applicants. </w:t>
      </w:r>
    </w:p>
    <w:p w14:paraId="054B6AC0" w14:textId="77777777" w:rsidR="00C1694E" w:rsidRPr="00C1694E" w:rsidRDefault="00C1694E" w:rsidP="00C1694E">
      <w:r w:rsidRPr="00C1694E">
        <w:lastRenderedPageBreak/>
        <w:t xml:space="preserve">AgoraEU also integrates a strong </w:t>
      </w:r>
      <w:r w:rsidRPr="00C1694E">
        <w:rPr>
          <w:b/>
          <w:bCs/>
        </w:rPr>
        <w:t>fundamental rights dimension</w:t>
      </w:r>
      <w:r w:rsidRPr="00C1694E">
        <w:t>, promoting freedoms and values enshrined in the EU Charter, including freedom of expression (Article 11), equality (Article 21), cultural diversity (Article 22), and non-discrimination (Article 20). Expected impacts include more resilient democracies, better-informed citizens, stronger creative ecosystems, enhanced media pluralism, deeper cross-sectoral cooperation, and a reinforced sense of European identity and cohesion.</w:t>
      </w:r>
    </w:p>
    <w:p w14:paraId="394AEFD6" w14:textId="77777777" w:rsidR="00C1694E" w:rsidRPr="00C1694E" w:rsidRDefault="00C1694E" w:rsidP="00C1694E">
      <w:r w:rsidRPr="00C1694E">
        <w:t xml:space="preserve">Financially, the proposal introduces a </w:t>
      </w:r>
      <w:r w:rsidRPr="00C1694E">
        <w:rPr>
          <w:b/>
          <w:bCs/>
        </w:rPr>
        <w:t>single indicative budget</w:t>
      </w:r>
      <w:r w:rsidRPr="00C1694E">
        <w:t xml:space="preserve"> for 2028–2034, indexed by a 2% annual deflator. This unified envelope is designed for flexibility, allowing funds to be reallocated in response to evolving policy needs and priorities.</w:t>
      </w:r>
    </w:p>
    <w:p w14:paraId="4E4645C9" w14:textId="3376B56E" w:rsidR="00C1694E" w:rsidRDefault="00C1694E" w:rsidP="00C1694E">
      <w:r w:rsidRPr="00C1694E">
        <w:t xml:space="preserve">Overall, </w:t>
      </w:r>
      <w:r w:rsidRPr="00C1694E">
        <w:rPr>
          <w:b/>
          <w:bCs/>
        </w:rPr>
        <w:t>AgoraEU</w:t>
      </w:r>
      <w:r w:rsidRPr="00C1694E">
        <w:t xml:space="preserve"> represents a </w:t>
      </w:r>
      <w:r w:rsidR="008E31C9" w:rsidRPr="008E31C9">
        <w:rPr>
          <w:lang w:val="en-GB"/>
        </w:rPr>
        <w:t>cha</w:t>
      </w:r>
      <w:r w:rsidR="008E31C9">
        <w:rPr>
          <w:lang w:val="en-GB"/>
        </w:rPr>
        <w:t xml:space="preserve">nge in </w:t>
      </w:r>
      <w:r w:rsidRPr="00C1694E">
        <w:t xml:space="preserve">the EU’s soft-power instruments. By bringing together culture, media, and civic values under one </w:t>
      </w:r>
      <w:proofErr w:type="spellStart"/>
      <w:r w:rsidRPr="00C1694E">
        <w:t>programme</w:t>
      </w:r>
      <w:proofErr w:type="spellEnd"/>
      <w:r w:rsidRPr="00C1694E">
        <w:t>, it aims to counter fragmentation, boost Europe’s competitiveness, and foster democratic resilience. The initiative aspires to create a simpler, more visible, and citizen-oriented funding landscape</w:t>
      </w:r>
      <w:r w:rsidR="008E31C9" w:rsidRPr="008E31C9">
        <w:rPr>
          <w:lang w:val="en-GB"/>
        </w:rPr>
        <w:t>,</w:t>
      </w:r>
      <w:r w:rsidR="008E31C9">
        <w:rPr>
          <w:lang w:val="en-GB"/>
        </w:rPr>
        <w:t xml:space="preserve"> </w:t>
      </w:r>
      <w:r w:rsidRPr="00C1694E">
        <w:t>anchoring culture, rights, and participation at the heart of the European project.</w:t>
      </w:r>
    </w:p>
    <w:p w14:paraId="35921A9A" w14:textId="3A0E6FEA" w:rsidR="00C1694E" w:rsidRPr="00663AB9" w:rsidRDefault="00C1694E" w:rsidP="00663AB9">
      <w:pPr>
        <w:ind w:left="720"/>
      </w:pPr>
    </w:p>
    <w:p w14:paraId="4F0F34C8" w14:textId="77777777" w:rsidR="00C1694E" w:rsidRPr="00C1694E" w:rsidRDefault="00C1694E" w:rsidP="00C1694E">
      <w:pPr>
        <w:rPr>
          <w:lang w:val="en-GB"/>
        </w:rPr>
      </w:pPr>
    </w:p>
    <w:p w14:paraId="6D0B795C" w14:textId="241C81B5" w:rsidR="00C1694E" w:rsidRDefault="00C1694E" w:rsidP="00C1694E">
      <w:pPr>
        <w:rPr>
          <w:b/>
          <w:bCs/>
          <w:sz w:val="28"/>
          <w:szCs w:val="28"/>
          <w:u w:val="single"/>
          <w:lang w:val="en-GB"/>
        </w:rPr>
      </w:pPr>
      <w:r w:rsidRPr="00C1694E">
        <w:rPr>
          <w:b/>
          <w:bCs/>
          <w:sz w:val="28"/>
          <w:szCs w:val="28"/>
          <w:u w:val="single"/>
          <w:lang w:val="en-GB"/>
        </w:rPr>
        <w:t>Questions for the discussion:</w:t>
      </w:r>
    </w:p>
    <w:p w14:paraId="0A924485" w14:textId="77777777" w:rsidR="005530BE" w:rsidRPr="00C1694E" w:rsidRDefault="005530BE" w:rsidP="00C1694E">
      <w:pPr>
        <w:rPr>
          <w:b/>
          <w:bCs/>
          <w:sz w:val="28"/>
          <w:szCs w:val="28"/>
          <w:u w:val="single"/>
          <w:lang w:val="en-GB"/>
        </w:rPr>
      </w:pPr>
    </w:p>
    <w:p w14:paraId="432958DA" w14:textId="77777777" w:rsidR="00702A0A" w:rsidRDefault="00C1694E" w:rsidP="00702A0A">
      <w:pPr>
        <w:rPr>
          <w:b/>
          <w:bCs/>
          <w:lang w:val="en-GB"/>
        </w:rPr>
      </w:pPr>
      <w:r w:rsidRPr="00C1694E">
        <w:rPr>
          <w:b/>
          <w:bCs/>
          <w:lang w:val="en-GB"/>
        </w:rPr>
        <w:t>General orientation</w:t>
      </w:r>
    </w:p>
    <w:p w14:paraId="24C0DF95" w14:textId="77777777" w:rsidR="00702A0A" w:rsidRDefault="00702A0A" w:rsidP="00702A0A">
      <w:pPr>
        <w:rPr>
          <w:b/>
          <w:bCs/>
          <w:lang w:val="en-GB"/>
        </w:rPr>
      </w:pPr>
    </w:p>
    <w:p w14:paraId="6D9110F7" w14:textId="77777777" w:rsidR="00964FBB" w:rsidRPr="003B72F9" w:rsidRDefault="00C1694E" w:rsidP="00964FBB">
      <w:pPr>
        <w:pStyle w:val="ListParagraph"/>
        <w:numPr>
          <w:ilvl w:val="0"/>
          <w:numId w:val="35"/>
        </w:numPr>
        <w:rPr>
          <w:b/>
          <w:bCs/>
          <w:lang w:val="en-GB"/>
        </w:rPr>
      </w:pPr>
      <w:r w:rsidRPr="003B72F9">
        <w:t xml:space="preserve">Does the integration of Creative Europe and CERV into a single </w:t>
      </w:r>
      <w:proofErr w:type="spellStart"/>
      <w:r w:rsidRPr="003B72F9">
        <w:t>programme</w:t>
      </w:r>
      <w:proofErr w:type="spellEnd"/>
      <w:r w:rsidRPr="003B72F9">
        <w:t xml:space="preserve"> (AgoraEU) enhance coherence and efficiency, or </w:t>
      </w:r>
      <w:r w:rsidRPr="00492946">
        <w:rPr>
          <w:b/>
          <w:bCs/>
        </w:rPr>
        <w:t>does it risk diluting specific policy priorities</w:t>
      </w:r>
      <w:r w:rsidRPr="003B72F9">
        <w:t xml:space="preserve"> (e.g., culture vs. democracy)?</w:t>
      </w:r>
    </w:p>
    <w:p w14:paraId="683BF81F" w14:textId="77777777" w:rsidR="00964FBB" w:rsidRPr="003B72F9" w:rsidRDefault="00C1694E" w:rsidP="00964FBB">
      <w:pPr>
        <w:pStyle w:val="ListParagraph"/>
        <w:numPr>
          <w:ilvl w:val="0"/>
          <w:numId w:val="35"/>
        </w:numPr>
        <w:rPr>
          <w:b/>
          <w:bCs/>
          <w:lang w:val="en-GB"/>
        </w:rPr>
      </w:pPr>
      <w:r w:rsidRPr="003B72F9">
        <w:t xml:space="preserve">How can the CoR ensure that the </w:t>
      </w:r>
      <w:r w:rsidRPr="00492946">
        <w:rPr>
          <w:b/>
          <w:bCs/>
        </w:rPr>
        <w:t>distinct needs of local and regional actors are reflected</w:t>
      </w:r>
      <w:r w:rsidRPr="003B72F9">
        <w:t xml:space="preserve"> in the </w:t>
      </w:r>
      <w:proofErr w:type="spellStart"/>
      <w:r w:rsidRPr="003B72F9">
        <w:t>programme’s</w:t>
      </w:r>
      <w:proofErr w:type="spellEnd"/>
      <w:r w:rsidRPr="003B72F9">
        <w:t xml:space="preserve"> governance and funding design?</w:t>
      </w:r>
    </w:p>
    <w:p w14:paraId="427025ED" w14:textId="616B30CC" w:rsidR="00145E07" w:rsidRPr="00AF4DA4" w:rsidRDefault="00C1694E" w:rsidP="00964FBB">
      <w:pPr>
        <w:pStyle w:val="ListParagraph"/>
        <w:numPr>
          <w:ilvl w:val="0"/>
          <w:numId w:val="35"/>
        </w:numPr>
        <w:rPr>
          <w:b/>
          <w:bCs/>
          <w:lang w:val="en-GB"/>
        </w:rPr>
      </w:pPr>
      <w:r w:rsidRPr="003B72F9">
        <w:t xml:space="preserve">How well does AgoraEU reflect the </w:t>
      </w:r>
      <w:r w:rsidRPr="00492946">
        <w:rPr>
          <w:b/>
          <w:bCs/>
        </w:rPr>
        <w:t>realities and priorities of regions and cities</w:t>
      </w:r>
      <w:r w:rsidRPr="003B72F9">
        <w:t xml:space="preserve"> in culture, civic </w:t>
      </w:r>
      <w:r w:rsidRPr="00AF4DA4">
        <w:t>engagement, and media pluralism?</w:t>
      </w:r>
    </w:p>
    <w:p w14:paraId="24D254FC" w14:textId="427ED3F7" w:rsidR="00AF4DA4" w:rsidRPr="00F207D4" w:rsidRDefault="00AF4DA4" w:rsidP="00AF4DA4">
      <w:pPr>
        <w:numPr>
          <w:ilvl w:val="0"/>
          <w:numId w:val="35"/>
        </w:numPr>
      </w:pPr>
      <w:r w:rsidRPr="00F207D4">
        <w:t xml:space="preserve">Should </w:t>
      </w:r>
      <w:r w:rsidR="002C2744" w:rsidRPr="002C2744">
        <w:rPr>
          <w:lang w:val="en-GB"/>
        </w:rPr>
        <w:t>Co</w:t>
      </w:r>
      <w:r w:rsidR="002C2744">
        <w:rPr>
          <w:lang w:val="en-GB"/>
        </w:rPr>
        <w:t>R</w:t>
      </w:r>
      <w:r w:rsidRPr="00F207D4">
        <w:t xml:space="preserve"> call for dedicated action </w:t>
      </w:r>
      <w:proofErr w:type="spellStart"/>
      <w:r w:rsidRPr="00F207D4">
        <w:t>programmes</w:t>
      </w:r>
      <w:proofErr w:type="spellEnd"/>
      <w:r w:rsidRPr="00F207D4">
        <w:t xml:space="preserve"> under AgoraEU to support </w:t>
      </w:r>
      <w:r w:rsidRPr="00F207D4">
        <w:rPr>
          <w:b/>
          <w:bCs/>
        </w:rPr>
        <w:t xml:space="preserve">participation from </w:t>
      </w:r>
      <w:proofErr w:type="gramStart"/>
      <w:r w:rsidRPr="00F207D4">
        <w:rPr>
          <w:b/>
          <w:bCs/>
        </w:rPr>
        <w:t>less-developed</w:t>
      </w:r>
      <w:proofErr w:type="gramEnd"/>
      <w:r w:rsidRPr="00F207D4">
        <w:rPr>
          <w:b/>
          <w:bCs/>
        </w:rPr>
        <w:t xml:space="preserve"> and </w:t>
      </w:r>
      <w:r w:rsidR="00491FC3" w:rsidRPr="00492946">
        <w:rPr>
          <w:b/>
          <w:bCs/>
          <w:lang w:val="en-GB"/>
        </w:rPr>
        <w:t>rural</w:t>
      </w:r>
      <w:r w:rsidRPr="00F207D4">
        <w:rPr>
          <w:b/>
          <w:bCs/>
        </w:rPr>
        <w:t xml:space="preserve"> regions</w:t>
      </w:r>
      <w:r w:rsidRPr="00F207D4">
        <w:t>?</w:t>
      </w:r>
    </w:p>
    <w:p w14:paraId="5D79CDA0" w14:textId="34130391" w:rsidR="00AF4DA4" w:rsidRPr="003618F7" w:rsidRDefault="00AF4DA4" w:rsidP="00AF4DA4">
      <w:pPr>
        <w:pStyle w:val="ListParagraph"/>
        <w:numPr>
          <w:ilvl w:val="0"/>
          <w:numId w:val="35"/>
        </w:numPr>
        <w:rPr>
          <w:lang w:val="en-GB"/>
        </w:rPr>
      </w:pPr>
      <w:r w:rsidRPr="00F207D4">
        <w:t xml:space="preserve">Would the CoR support a </w:t>
      </w:r>
      <w:r w:rsidRPr="00F207D4">
        <w:rPr>
          <w:b/>
          <w:bCs/>
        </w:rPr>
        <w:t>geographical balance target</w:t>
      </w:r>
      <w:r w:rsidRPr="00F207D4">
        <w:t xml:space="preserve"> in project selection to ensure fair participation?</w:t>
      </w:r>
    </w:p>
    <w:p w14:paraId="7A47D778" w14:textId="1C2E61D4" w:rsidR="003618F7" w:rsidRPr="00C328D7" w:rsidRDefault="00D301A6" w:rsidP="00AF4DA4">
      <w:pPr>
        <w:pStyle w:val="ListParagraph"/>
        <w:numPr>
          <w:ilvl w:val="0"/>
          <w:numId w:val="35"/>
        </w:numPr>
        <w:rPr>
          <w:lang w:val="en-GB"/>
        </w:rPr>
      </w:pPr>
      <w:r>
        <w:rPr>
          <w:lang w:val="en-GB"/>
        </w:rPr>
        <w:t>Should t</w:t>
      </w:r>
      <w:r w:rsidRPr="00D301A6">
        <w:rPr>
          <w:lang w:val="en-GB"/>
        </w:rPr>
        <w:t xml:space="preserve">he programme support </w:t>
      </w:r>
      <w:r>
        <w:rPr>
          <w:lang w:val="en-GB"/>
        </w:rPr>
        <w:t xml:space="preserve">or even prioritize </w:t>
      </w:r>
      <w:r w:rsidRPr="00D301A6">
        <w:rPr>
          <w:lang w:val="en-GB"/>
        </w:rPr>
        <w:t xml:space="preserve">projects involving partners from </w:t>
      </w:r>
      <w:r w:rsidR="00A816C8" w:rsidRPr="00A816C8">
        <w:rPr>
          <w:b/>
          <w:bCs/>
          <w:lang w:val="en-GB"/>
        </w:rPr>
        <w:t xml:space="preserve">accession </w:t>
      </w:r>
      <w:r w:rsidRPr="00A816C8">
        <w:rPr>
          <w:b/>
          <w:bCs/>
          <w:lang w:val="en-GB"/>
        </w:rPr>
        <w:t>countries</w:t>
      </w:r>
      <w:r w:rsidRPr="00D301A6">
        <w:rPr>
          <w:lang w:val="en-GB"/>
        </w:rPr>
        <w:t>, fostering dialogue, mutual learning and shared commitment to European values</w:t>
      </w:r>
      <w:r w:rsidR="00A816C8">
        <w:rPr>
          <w:lang w:val="en-GB"/>
        </w:rPr>
        <w:t>?</w:t>
      </w:r>
    </w:p>
    <w:p w14:paraId="5508069F" w14:textId="77777777" w:rsidR="005530BE" w:rsidRPr="00145E07" w:rsidRDefault="005530BE" w:rsidP="005530BE">
      <w:pPr>
        <w:ind w:left="1440"/>
      </w:pPr>
    </w:p>
    <w:p w14:paraId="580B3C34" w14:textId="2417DC6E" w:rsidR="00C1694E" w:rsidRDefault="00C1694E" w:rsidP="00145E07">
      <w:pPr>
        <w:rPr>
          <w:b/>
          <w:bCs/>
          <w:lang w:val="fr-BE"/>
        </w:rPr>
      </w:pPr>
      <w:r w:rsidRPr="00F207D4">
        <w:rPr>
          <w:b/>
          <w:bCs/>
        </w:rPr>
        <w:t>Simplification and accessibility</w:t>
      </w:r>
    </w:p>
    <w:p w14:paraId="2434578A" w14:textId="77777777" w:rsidR="00D53E69" w:rsidRPr="00F207D4" w:rsidRDefault="00D53E69" w:rsidP="00145E07">
      <w:pPr>
        <w:rPr>
          <w:lang w:val="fr-BE"/>
        </w:rPr>
      </w:pPr>
    </w:p>
    <w:p w14:paraId="421186E9" w14:textId="241BE28A" w:rsidR="00C1694E" w:rsidRPr="00F207D4" w:rsidRDefault="00C1694E" w:rsidP="003B72F9">
      <w:pPr>
        <w:numPr>
          <w:ilvl w:val="0"/>
          <w:numId w:val="3"/>
        </w:numPr>
      </w:pPr>
      <w:r w:rsidRPr="00F207D4">
        <w:t xml:space="preserve">The proposal aims for </w:t>
      </w:r>
      <w:proofErr w:type="gramStart"/>
      <w:r w:rsidRPr="00F207D4">
        <w:t>simplification</w:t>
      </w:r>
      <w:r w:rsidR="003B72F9" w:rsidRPr="003B72F9">
        <w:rPr>
          <w:lang w:val="en-GB"/>
        </w:rPr>
        <w:t>,</w:t>
      </w:r>
      <w:proofErr w:type="gramEnd"/>
      <w:r w:rsidR="003B72F9" w:rsidRPr="003B72F9">
        <w:rPr>
          <w:lang w:val="en-GB"/>
        </w:rPr>
        <w:t xml:space="preserve"> </w:t>
      </w:r>
      <w:r w:rsidRPr="00F207D4">
        <w:rPr>
          <w:b/>
          <w:bCs/>
        </w:rPr>
        <w:t xml:space="preserve">will the new structure </w:t>
      </w:r>
      <w:proofErr w:type="gramStart"/>
      <w:r w:rsidRPr="00F207D4">
        <w:rPr>
          <w:b/>
          <w:bCs/>
        </w:rPr>
        <w:t>actually reduce</w:t>
      </w:r>
      <w:proofErr w:type="gramEnd"/>
      <w:r w:rsidRPr="00F207D4">
        <w:rPr>
          <w:b/>
          <w:bCs/>
        </w:rPr>
        <w:t xml:space="preserve"> administrative burden </w:t>
      </w:r>
      <w:r w:rsidRPr="00F207D4">
        <w:t xml:space="preserve">for small </w:t>
      </w:r>
      <w:proofErr w:type="spellStart"/>
      <w:r w:rsidRPr="00F207D4">
        <w:t>organisations</w:t>
      </w:r>
      <w:proofErr w:type="spellEnd"/>
      <w:r w:rsidRPr="00F207D4">
        <w:t xml:space="preserve"> and local authorities?</w:t>
      </w:r>
    </w:p>
    <w:p w14:paraId="35716153" w14:textId="4D81A1F6" w:rsidR="00C1694E" w:rsidRPr="00492946" w:rsidRDefault="00C1694E" w:rsidP="003B72F9">
      <w:pPr>
        <w:numPr>
          <w:ilvl w:val="0"/>
          <w:numId w:val="3"/>
        </w:numPr>
      </w:pPr>
      <w:r w:rsidRPr="00F207D4">
        <w:rPr>
          <w:b/>
          <w:bCs/>
        </w:rPr>
        <w:t>What safeguards are needed</w:t>
      </w:r>
      <w:r w:rsidRPr="00F207D4">
        <w:t xml:space="preserve"> to ensure that smaller municipalities, local </w:t>
      </w:r>
      <w:r w:rsidR="003B72F9" w:rsidRPr="003B72F9">
        <w:rPr>
          <w:lang w:val="en-GB"/>
        </w:rPr>
        <w:t>CCSs</w:t>
      </w:r>
      <w:r w:rsidRPr="00F207D4">
        <w:t>, and cultural operators</w:t>
      </w:r>
      <w:r w:rsidR="00CD6CB8" w:rsidRPr="00CD6CB8">
        <w:rPr>
          <w:lang w:val="en-GB"/>
        </w:rPr>
        <w:t xml:space="preserve"> </w:t>
      </w:r>
      <w:r w:rsidR="00CD6CB8">
        <w:rPr>
          <w:lang w:val="en-GB"/>
        </w:rPr>
        <w:t>etc</w:t>
      </w:r>
      <w:r w:rsidRPr="00F207D4">
        <w:t xml:space="preserve"> can effectively access AgoraEU funding?</w:t>
      </w:r>
    </w:p>
    <w:p w14:paraId="41DBAADD" w14:textId="2336A632" w:rsidR="00492946" w:rsidRDefault="00492946" w:rsidP="003B72F9">
      <w:pPr>
        <w:numPr>
          <w:ilvl w:val="0"/>
          <w:numId w:val="3"/>
        </w:numPr>
      </w:pPr>
      <w:r w:rsidRPr="00F207D4">
        <w:t xml:space="preserve">Should the CoR advocate for a </w:t>
      </w:r>
      <w:r w:rsidRPr="00F207D4">
        <w:rPr>
          <w:b/>
          <w:bCs/>
        </w:rPr>
        <w:t>territorial allocation</w:t>
      </w:r>
      <w:r w:rsidRPr="00F207D4">
        <w:t xml:space="preserve"> within AgoraEU to ensure that LRAs and local cultural/media ecosystems are not overshadowed by large-scale</w:t>
      </w:r>
      <w:r w:rsidRPr="007F7552">
        <w:rPr>
          <w:lang w:val="en-GB"/>
        </w:rPr>
        <w:t xml:space="preserve"> </w:t>
      </w:r>
      <w:r w:rsidRPr="00F207D4">
        <w:t>projects?</w:t>
      </w:r>
    </w:p>
    <w:p w14:paraId="3FA59FCE" w14:textId="629683CA" w:rsidR="00710463" w:rsidRPr="005530BE" w:rsidRDefault="00710463" w:rsidP="003B72F9">
      <w:pPr>
        <w:numPr>
          <w:ilvl w:val="0"/>
          <w:numId w:val="3"/>
        </w:numPr>
      </w:pPr>
      <w:r>
        <w:t>Should t</w:t>
      </w:r>
      <w:r w:rsidRPr="00710463">
        <w:t xml:space="preserve">he </w:t>
      </w:r>
      <w:proofErr w:type="spellStart"/>
      <w:r w:rsidRPr="00710463">
        <w:t>programme</w:t>
      </w:r>
      <w:proofErr w:type="spellEnd"/>
      <w:r w:rsidRPr="00710463">
        <w:t xml:space="preserve"> prioritize projects that integrate environmental sustainability and energy efficiency into their design and implementation</w:t>
      </w:r>
      <w:r>
        <w:t>?</w:t>
      </w:r>
      <w:r w:rsidRPr="00710463">
        <w:t xml:space="preserve"> </w:t>
      </w:r>
      <w:r>
        <w:t>And if so, do we need d</w:t>
      </w:r>
      <w:r w:rsidRPr="00710463">
        <w:t xml:space="preserve">edicated preparatory actions, capacity-building activities and exchanges of good practices </w:t>
      </w:r>
      <w:r>
        <w:t>to</w:t>
      </w:r>
      <w:r w:rsidRPr="00710463">
        <w:t xml:space="preserve"> be organized to help </w:t>
      </w:r>
      <w:r w:rsidRPr="00710463">
        <w:lastRenderedPageBreak/>
        <w:t>applicants adopt environmentally responsible approaches and energy-conscious project management standards</w:t>
      </w:r>
      <w:r>
        <w:t>?</w:t>
      </w:r>
    </w:p>
    <w:p w14:paraId="31658CB9" w14:textId="77777777" w:rsidR="005530BE" w:rsidRPr="00F207D4" w:rsidRDefault="005530BE" w:rsidP="005530BE">
      <w:pPr>
        <w:ind w:left="1440"/>
        <w:rPr>
          <w:lang w:val="en-GB"/>
        </w:rPr>
      </w:pPr>
    </w:p>
    <w:p w14:paraId="0DBF4E98" w14:textId="751C53BA" w:rsidR="00C1694E" w:rsidRPr="008F5F96" w:rsidRDefault="00C1694E" w:rsidP="00C1694E">
      <w:pPr>
        <w:rPr>
          <w:b/>
          <w:bCs/>
          <w:lang w:val="it-IT"/>
        </w:rPr>
      </w:pPr>
      <w:r w:rsidRPr="008F5F96">
        <w:rPr>
          <w:b/>
          <w:bCs/>
          <w:lang w:val="it-IT"/>
        </w:rPr>
        <w:t>Creative Europe</w:t>
      </w:r>
      <w:r w:rsidR="0017492D" w:rsidRPr="008F5F96">
        <w:rPr>
          <w:b/>
          <w:bCs/>
          <w:lang w:val="it-IT"/>
        </w:rPr>
        <w:t xml:space="preserve">, </w:t>
      </w:r>
      <w:r w:rsidRPr="008F5F96">
        <w:rPr>
          <w:b/>
          <w:bCs/>
          <w:lang w:val="it-IT"/>
        </w:rPr>
        <w:t>Culture Strand</w:t>
      </w:r>
      <w:r w:rsidR="00FE7F0A" w:rsidRPr="008F5F96">
        <w:rPr>
          <w:b/>
          <w:bCs/>
          <w:lang w:val="it-IT"/>
        </w:rPr>
        <w:t>/</w:t>
      </w:r>
      <w:r w:rsidR="00FE7F0A" w:rsidRPr="008F5F96">
        <w:rPr>
          <w:lang w:val="it-IT"/>
        </w:rPr>
        <w:t xml:space="preserve"> </w:t>
      </w:r>
      <w:r w:rsidR="00FE7F0A" w:rsidRPr="008F5F96">
        <w:rPr>
          <w:b/>
          <w:bCs/>
          <w:lang w:val="it-IT"/>
        </w:rPr>
        <w:t>MEDIA+ Strand /</w:t>
      </w:r>
      <w:r w:rsidR="00FE7F0A" w:rsidRPr="008F5F96">
        <w:rPr>
          <w:lang w:val="it-IT"/>
        </w:rPr>
        <w:t xml:space="preserve"> </w:t>
      </w:r>
      <w:r w:rsidR="00FE7F0A" w:rsidRPr="008F5F96">
        <w:rPr>
          <w:b/>
          <w:bCs/>
          <w:lang w:val="it-IT"/>
        </w:rPr>
        <w:t>CERV+ Strand</w:t>
      </w:r>
    </w:p>
    <w:p w14:paraId="076E6349" w14:textId="77777777" w:rsidR="00D53E69" w:rsidRPr="008F5F96" w:rsidRDefault="00D53E69" w:rsidP="00C1694E">
      <w:pPr>
        <w:rPr>
          <w:lang w:val="it-IT"/>
        </w:rPr>
      </w:pPr>
    </w:p>
    <w:p w14:paraId="783588B3" w14:textId="1DF24F87" w:rsidR="00C1694E" w:rsidRPr="00F207D4" w:rsidRDefault="00C1694E" w:rsidP="003B72F9">
      <w:pPr>
        <w:numPr>
          <w:ilvl w:val="0"/>
          <w:numId w:val="5"/>
        </w:numPr>
      </w:pPr>
      <w:r w:rsidRPr="00F207D4">
        <w:t xml:space="preserve">What measures should be included to ensure </w:t>
      </w:r>
      <w:r w:rsidRPr="00F207D4">
        <w:rPr>
          <w:b/>
          <w:bCs/>
        </w:rPr>
        <w:t>balanced participation across territories</w:t>
      </w:r>
      <w:r w:rsidRPr="00F207D4">
        <w:t xml:space="preserve"> (urban, rural, remote, outermost regions)?</w:t>
      </w:r>
    </w:p>
    <w:p w14:paraId="2D2AA9AA" w14:textId="5FEBCD11" w:rsidR="00C1694E" w:rsidRPr="00CE0F74" w:rsidRDefault="00FE7F0A" w:rsidP="003B72F9">
      <w:pPr>
        <w:numPr>
          <w:ilvl w:val="0"/>
          <w:numId w:val="5"/>
        </w:numPr>
      </w:pPr>
      <w:r w:rsidRPr="00FE7F0A">
        <w:t xml:space="preserve">What measures should be included to </w:t>
      </w:r>
      <w:r w:rsidR="00C1694E" w:rsidRPr="00F207D4">
        <w:t xml:space="preserve">promote </w:t>
      </w:r>
      <w:r w:rsidR="00C1694E" w:rsidRPr="00F207D4">
        <w:rPr>
          <w:b/>
          <w:bCs/>
        </w:rPr>
        <w:t>regional and inter-regional networks</w:t>
      </w:r>
      <w:r w:rsidR="00C1694E" w:rsidRPr="00F207D4">
        <w:t xml:space="preserve"> and </w:t>
      </w:r>
      <w:r w:rsidR="00C1694E" w:rsidRPr="00F207D4">
        <w:rPr>
          <w:b/>
          <w:bCs/>
        </w:rPr>
        <w:t>mobility schemes</w:t>
      </w:r>
      <w:r w:rsidR="00C1694E" w:rsidRPr="00F207D4">
        <w:t>?</w:t>
      </w:r>
    </w:p>
    <w:p w14:paraId="458EA0F9" w14:textId="34E137E6" w:rsidR="00CE0F74" w:rsidRPr="00F207D4" w:rsidRDefault="00CE0F74" w:rsidP="00CE0F74">
      <w:pPr>
        <w:numPr>
          <w:ilvl w:val="0"/>
          <w:numId w:val="5"/>
        </w:numPr>
      </w:pPr>
      <w:r w:rsidRPr="00F207D4">
        <w:t xml:space="preserve">How can the MFF and AgoraEU ensure stable, </w:t>
      </w:r>
      <w:r w:rsidRPr="00F207D4">
        <w:rPr>
          <w:b/>
          <w:bCs/>
        </w:rPr>
        <w:t>long-term funding for local</w:t>
      </w:r>
      <w:r w:rsidR="00067ACB" w:rsidRPr="00067ACB">
        <w:rPr>
          <w:b/>
          <w:bCs/>
          <w:lang w:val="en-GB"/>
        </w:rPr>
        <w:t xml:space="preserve"> </w:t>
      </w:r>
      <w:r w:rsidRPr="00F207D4">
        <w:rPr>
          <w:b/>
          <w:bCs/>
        </w:rPr>
        <w:t>ecosystems</w:t>
      </w:r>
      <w:r w:rsidRPr="00F207D4">
        <w:t>, including small creative industries, heritage institutions, independent media</w:t>
      </w:r>
      <w:r w:rsidR="00067ACB" w:rsidRPr="00067ACB">
        <w:rPr>
          <w:lang w:val="en-GB"/>
        </w:rPr>
        <w:t xml:space="preserve"> </w:t>
      </w:r>
      <w:r w:rsidR="00067ACB">
        <w:rPr>
          <w:lang w:val="en-GB"/>
        </w:rPr>
        <w:t>and others</w:t>
      </w:r>
      <w:r w:rsidRPr="00F207D4">
        <w:t>?</w:t>
      </w:r>
    </w:p>
    <w:p w14:paraId="5AC50F47" w14:textId="77777777" w:rsidR="0017492D" w:rsidRPr="00F207D4" w:rsidRDefault="0017492D" w:rsidP="0017492D">
      <w:pPr>
        <w:numPr>
          <w:ilvl w:val="0"/>
          <w:numId w:val="5"/>
        </w:numPr>
      </w:pPr>
      <w:r w:rsidRPr="00F207D4">
        <w:t xml:space="preserve">How can AgoraEU better support </w:t>
      </w:r>
      <w:r w:rsidRPr="00F207D4">
        <w:rPr>
          <w:b/>
          <w:bCs/>
        </w:rPr>
        <w:t>local democratic innovation</w:t>
      </w:r>
      <w:r w:rsidRPr="00F207D4">
        <w:t xml:space="preserve"> (e.g.</w:t>
      </w:r>
      <w:r w:rsidRPr="0017492D">
        <w:rPr>
          <w:lang w:val="en-GB"/>
        </w:rPr>
        <w:t xml:space="preserve"> </w:t>
      </w:r>
      <w:r w:rsidRPr="00F207D4">
        <w:t>citizens’ assemblies, youth councils)?</w:t>
      </w:r>
    </w:p>
    <w:p w14:paraId="29FDAD04" w14:textId="77777777" w:rsidR="0017492D" w:rsidRPr="0017492D" w:rsidRDefault="0017492D" w:rsidP="0017492D">
      <w:pPr>
        <w:numPr>
          <w:ilvl w:val="0"/>
          <w:numId w:val="5"/>
        </w:numPr>
      </w:pPr>
      <w:r w:rsidRPr="00F207D4">
        <w:t xml:space="preserve">How can the </w:t>
      </w:r>
      <w:proofErr w:type="spellStart"/>
      <w:r w:rsidRPr="00F207D4">
        <w:t>Programme</w:t>
      </w:r>
      <w:proofErr w:type="spellEnd"/>
      <w:r w:rsidRPr="00F207D4">
        <w:t xml:space="preserve"> ensure stable and long-term funding for </w:t>
      </w:r>
      <w:r w:rsidRPr="00F207D4">
        <w:rPr>
          <w:b/>
          <w:bCs/>
        </w:rPr>
        <w:t xml:space="preserve">grassroots </w:t>
      </w:r>
      <w:proofErr w:type="spellStart"/>
      <w:r w:rsidRPr="00F207D4">
        <w:rPr>
          <w:b/>
          <w:bCs/>
        </w:rPr>
        <w:t>organisations</w:t>
      </w:r>
      <w:proofErr w:type="spellEnd"/>
      <w:r w:rsidRPr="00F207D4">
        <w:t xml:space="preserve"> </w:t>
      </w:r>
      <w:proofErr w:type="gramStart"/>
      <w:r w:rsidRPr="00F207D4">
        <w:t>defending</w:t>
      </w:r>
      <w:proofErr w:type="gramEnd"/>
      <w:r w:rsidRPr="00F207D4">
        <w:t xml:space="preserve"> democracy and fundamental rights at the local level?</w:t>
      </w:r>
    </w:p>
    <w:p w14:paraId="2CB2995B" w14:textId="44BAC327" w:rsidR="00C1694E" w:rsidRPr="00F207D4" w:rsidRDefault="0017492D" w:rsidP="00C1694E">
      <w:pPr>
        <w:numPr>
          <w:ilvl w:val="0"/>
          <w:numId w:val="5"/>
        </w:numPr>
      </w:pPr>
      <w:r w:rsidRPr="00F207D4">
        <w:t xml:space="preserve">How can regions contribute to the fight against </w:t>
      </w:r>
      <w:r w:rsidRPr="00F207D4">
        <w:rPr>
          <w:b/>
          <w:bCs/>
        </w:rPr>
        <w:t xml:space="preserve">discrimination, gender-based violence, and inequalities </w:t>
      </w:r>
      <w:r w:rsidRPr="00F207D4">
        <w:t>through AgoraEU projects?</w:t>
      </w:r>
    </w:p>
    <w:p w14:paraId="49F0607A" w14:textId="7FE6540E" w:rsidR="00C1694E" w:rsidRPr="00782A49" w:rsidRDefault="00C1694E" w:rsidP="00782A49">
      <w:pPr>
        <w:numPr>
          <w:ilvl w:val="0"/>
          <w:numId w:val="6"/>
        </w:numPr>
      </w:pPr>
      <w:r w:rsidRPr="00F207D4">
        <w:t xml:space="preserve">How can AgoraEU support </w:t>
      </w:r>
      <w:r w:rsidRPr="00F207D4">
        <w:rPr>
          <w:b/>
          <w:bCs/>
        </w:rPr>
        <w:t>local and regional media ecosystems</w:t>
      </w:r>
      <w:r w:rsidRPr="00F207D4">
        <w:t>, especially independent journalism and community media?</w:t>
      </w:r>
    </w:p>
    <w:p w14:paraId="4AF5CB04" w14:textId="2C9B96B7" w:rsidR="00C1694E" w:rsidRPr="00F207D4" w:rsidRDefault="00C1694E" w:rsidP="0017492D">
      <w:pPr>
        <w:ind w:left="1440"/>
      </w:pPr>
    </w:p>
    <w:p w14:paraId="7CA1FAE3" w14:textId="55311BB6" w:rsidR="00C1694E" w:rsidRPr="008F5F96" w:rsidRDefault="00C1694E" w:rsidP="00C1694E">
      <w:pPr>
        <w:rPr>
          <w:lang w:val="en-GB"/>
        </w:rPr>
      </w:pPr>
    </w:p>
    <w:p w14:paraId="7C2EC46C" w14:textId="1E51FB5E" w:rsidR="00C1694E" w:rsidRPr="008F5F96" w:rsidRDefault="00C1694E" w:rsidP="00C1694E">
      <w:pPr>
        <w:rPr>
          <w:b/>
          <w:bCs/>
          <w:lang w:val="en-GB"/>
        </w:rPr>
      </w:pPr>
      <w:r w:rsidRPr="00F207D4">
        <w:rPr>
          <w:b/>
          <w:bCs/>
        </w:rPr>
        <w:t>Positioning of AgoraEU within the 2028–2034 MFF</w:t>
      </w:r>
    </w:p>
    <w:p w14:paraId="0C6808B4" w14:textId="77777777" w:rsidR="00D53E69" w:rsidRPr="008F5F96" w:rsidRDefault="00D53E69" w:rsidP="00C1694E">
      <w:pPr>
        <w:rPr>
          <w:lang w:val="en-GB"/>
        </w:rPr>
      </w:pPr>
    </w:p>
    <w:p w14:paraId="57578D9E" w14:textId="03276D87" w:rsidR="00C1694E" w:rsidRPr="00492946" w:rsidRDefault="00C1694E" w:rsidP="00492946">
      <w:pPr>
        <w:numPr>
          <w:ilvl w:val="0"/>
          <w:numId w:val="37"/>
        </w:numPr>
      </w:pPr>
      <w:r w:rsidRPr="00F207D4">
        <w:t xml:space="preserve">Does the proposed single </w:t>
      </w:r>
      <w:proofErr w:type="spellStart"/>
      <w:r w:rsidRPr="00F207D4">
        <w:t>programme</w:t>
      </w:r>
      <w:proofErr w:type="spellEnd"/>
      <w:r w:rsidRPr="00F207D4">
        <w:t xml:space="preserve"> (AgoraEU) risk </w:t>
      </w:r>
      <w:proofErr w:type="spellStart"/>
      <w:r w:rsidRPr="00F207D4">
        <w:rPr>
          <w:b/>
          <w:bCs/>
        </w:rPr>
        <w:t>centralising</w:t>
      </w:r>
      <w:proofErr w:type="spellEnd"/>
      <w:r w:rsidRPr="00F207D4">
        <w:rPr>
          <w:b/>
          <w:bCs/>
        </w:rPr>
        <w:t xml:space="preserve"> funding at EU level</w:t>
      </w:r>
      <w:r w:rsidRPr="00F207D4">
        <w:t>?</w:t>
      </w:r>
    </w:p>
    <w:p w14:paraId="1534A0EA" w14:textId="1F0DEF20" w:rsidR="006169F3" w:rsidRPr="00F207D4" w:rsidRDefault="006169F3" w:rsidP="00AF4DA4">
      <w:pPr>
        <w:numPr>
          <w:ilvl w:val="0"/>
          <w:numId w:val="37"/>
        </w:numPr>
      </w:pPr>
      <w:r w:rsidRPr="00F207D4">
        <w:t>How can the MFF’s simplification objectives ensure real accessibility for small municipalities and cultural operators?</w:t>
      </w:r>
    </w:p>
    <w:p w14:paraId="3F399BCC" w14:textId="6947E6BE" w:rsidR="00C1694E" w:rsidRPr="00F207D4" w:rsidRDefault="00C1694E" w:rsidP="00AF4DA4">
      <w:pPr>
        <w:numPr>
          <w:ilvl w:val="0"/>
          <w:numId w:val="37"/>
        </w:numPr>
      </w:pPr>
      <w:r w:rsidRPr="00F207D4">
        <w:t xml:space="preserve">How can </w:t>
      </w:r>
      <w:r w:rsidR="00FE64FF" w:rsidRPr="00FE64FF">
        <w:rPr>
          <w:lang w:val="en-GB"/>
        </w:rPr>
        <w:t>Co</w:t>
      </w:r>
      <w:r w:rsidR="00FE64FF">
        <w:rPr>
          <w:lang w:val="en-GB"/>
        </w:rPr>
        <w:t>R</w:t>
      </w:r>
      <w:r w:rsidRPr="00F207D4">
        <w:t xml:space="preserve"> ensure that the simplification and flexibility goals of the new MFF translate into </w:t>
      </w:r>
      <w:r w:rsidRPr="00F207D4">
        <w:rPr>
          <w:b/>
          <w:bCs/>
        </w:rPr>
        <w:t>accessible instruments for local and regional actors?</w:t>
      </w:r>
    </w:p>
    <w:p w14:paraId="64369942" w14:textId="36FEA106" w:rsidR="00C1694E" w:rsidRPr="00F207D4" w:rsidRDefault="00C1694E" w:rsidP="00C50F67">
      <w:pPr>
        <w:numPr>
          <w:ilvl w:val="0"/>
          <w:numId w:val="37"/>
        </w:numPr>
      </w:pPr>
      <w:r w:rsidRPr="00F207D4">
        <w:t>Should AgoraEU introduce geographical balance mechanisms to avoid the concentration of funds in certain Member States or capitals, as seen in previous Creative Europe cycles?</w:t>
      </w:r>
    </w:p>
    <w:p w14:paraId="35A6D024" w14:textId="2AEAC06F" w:rsidR="00C1694E" w:rsidRPr="00C1694E" w:rsidRDefault="00AF4DA4" w:rsidP="000235F1">
      <w:pPr>
        <w:jc w:val="center"/>
        <w:rPr>
          <w:lang w:val="en-GB"/>
        </w:rPr>
      </w:pPr>
      <w:r>
        <w:rPr>
          <w:lang w:val="fr-BE"/>
        </w:rPr>
        <w:t>_________________________________________</w:t>
      </w:r>
    </w:p>
    <w:sectPr w:rsidR="00C1694E" w:rsidRPr="00C1694E" w:rsidSect="00C1694E">
      <w:footerReference w:type="default" r:id="rId9"/>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CF92F" w14:textId="77777777" w:rsidR="008D299E" w:rsidRDefault="008D299E" w:rsidP="00C1694E">
      <w:pPr>
        <w:spacing w:line="240" w:lineRule="auto"/>
      </w:pPr>
      <w:r>
        <w:separator/>
      </w:r>
    </w:p>
  </w:endnote>
  <w:endnote w:type="continuationSeparator" w:id="0">
    <w:p w14:paraId="45C7FDAF" w14:textId="77777777" w:rsidR="008D299E" w:rsidRDefault="008D299E" w:rsidP="00C16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28654"/>
      <w:docPartObj>
        <w:docPartGallery w:val="Page Numbers (Bottom of Page)"/>
        <w:docPartUnique/>
      </w:docPartObj>
    </w:sdtPr>
    <w:sdtEndPr>
      <w:rPr>
        <w:noProof/>
      </w:rPr>
    </w:sdtEndPr>
    <w:sdtContent>
      <w:p w14:paraId="5D36D96C" w14:textId="18F10FB5" w:rsidR="00C1694E" w:rsidRDefault="00C169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AE015" w14:textId="77777777" w:rsidR="00C1694E" w:rsidRDefault="00C16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5DF2" w14:textId="77777777" w:rsidR="008D299E" w:rsidRDefault="008D299E" w:rsidP="00C1694E">
      <w:pPr>
        <w:spacing w:line="240" w:lineRule="auto"/>
      </w:pPr>
      <w:r>
        <w:separator/>
      </w:r>
    </w:p>
  </w:footnote>
  <w:footnote w:type="continuationSeparator" w:id="0">
    <w:p w14:paraId="413ABDC3" w14:textId="77777777" w:rsidR="008D299E" w:rsidRDefault="008D299E" w:rsidP="00C16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E92FCE"/>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73D27"/>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B5363"/>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52105"/>
    <w:multiLevelType w:val="multilevel"/>
    <w:tmpl w:val="0C6C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E5DFD"/>
    <w:multiLevelType w:val="multilevel"/>
    <w:tmpl w:val="F01E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A2FEE"/>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96106D"/>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C4BB6"/>
    <w:multiLevelType w:val="multilevel"/>
    <w:tmpl w:val="92FA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A5A0E"/>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572FF"/>
    <w:multiLevelType w:val="multilevel"/>
    <w:tmpl w:val="E016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F4E13"/>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B6A95"/>
    <w:multiLevelType w:val="multilevel"/>
    <w:tmpl w:val="3D8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06675"/>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54499"/>
    <w:multiLevelType w:val="multilevel"/>
    <w:tmpl w:val="B2D4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D75F52"/>
    <w:multiLevelType w:val="multilevel"/>
    <w:tmpl w:val="176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11C1B"/>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81934"/>
    <w:multiLevelType w:val="multilevel"/>
    <w:tmpl w:val="3BE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70030"/>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C106F"/>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93E6C"/>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6E3F6C"/>
    <w:multiLevelType w:val="multilevel"/>
    <w:tmpl w:val="91B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D78C2"/>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6239B"/>
    <w:multiLevelType w:val="multilevel"/>
    <w:tmpl w:val="3A6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22016"/>
    <w:multiLevelType w:val="multilevel"/>
    <w:tmpl w:val="4C1A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42E27"/>
    <w:multiLevelType w:val="multilevel"/>
    <w:tmpl w:val="A3D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76704"/>
    <w:multiLevelType w:val="multilevel"/>
    <w:tmpl w:val="FEC6BE1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830D2D"/>
    <w:multiLevelType w:val="multilevel"/>
    <w:tmpl w:val="33801DC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259A4"/>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B1128"/>
    <w:multiLevelType w:val="multilevel"/>
    <w:tmpl w:val="9B58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D6F89"/>
    <w:multiLevelType w:val="multilevel"/>
    <w:tmpl w:val="7450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E3ED5"/>
    <w:multiLevelType w:val="multilevel"/>
    <w:tmpl w:val="66008D18"/>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EC6295"/>
    <w:multiLevelType w:val="multilevel"/>
    <w:tmpl w:val="6CB4A73A"/>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453320"/>
    <w:multiLevelType w:val="multilevel"/>
    <w:tmpl w:val="01D8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B4DD0"/>
    <w:multiLevelType w:val="multilevel"/>
    <w:tmpl w:val="C9B6DA3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113B9C"/>
    <w:multiLevelType w:val="multilevel"/>
    <w:tmpl w:val="FD88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B71B4"/>
    <w:multiLevelType w:val="multilevel"/>
    <w:tmpl w:val="B46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290091">
    <w:abstractNumId w:val="0"/>
  </w:num>
  <w:num w:numId="2" w16cid:durableId="1917590738">
    <w:abstractNumId w:val="5"/>
  </w:num>
  <w:num w:numId="3" w16cid:durableId="774911149">
    <w:abstractNumId w:val="26"/>
  </w:num>
  <w:num w:numId="4" w16cid:durableId="2019500994">
    <w:abstractNumId w:val="2"/>
  </w:num>
  <w:num w:numId="5" w16cid:durableId="1373962466">
    <w:abstractNumId w:val="6"/>
  </w:num>
  <w:num w:numId="6" w16cid:durableId="110320751">
    <w:abstractNumId w:val="11"/>
  </w:num>
  <w:num w:numId="7" w16cid:durableId="277495047">
    <w:abstractNumId w:val="27"/>
  </w:num>
  <w:num w:numId="8" w16cid:durableId="1026442012">
    <w:abstractNumId w:val="31"/>
  </w:num>
  <w:num w:numId="9" w16cid:durableId="254480012">
    <w:abstractNumId w:val="25"/>
  </w:num>
  <w:num w:numId="10" w16cid:durableId="351685518">
    <w:abstractNumId w:val="23"/>
  </w:num>
  <w:num w:numId="11" w16cid:durableId="621615221">
    <w:abstractNumId w:val="24"/>
  </w:num>
  <w:num w:numId="12" w16cid:durableId="760489053">
    <w:abstractNumId w:val="36"/>
  </w:num>
  <w:num w:numId="13" w16cid:durableId="1197697000">
    <w:abstractNumId w:val="17"/>
  </w:num>
  <w:num w:numId="14" w16cid:durableId="238714537">
    <w:abstractNumId w:val="8"/>
  </w:num>
  <w:num w:numId="15" w16cid:durableId="822350652">
    <w:abstractNumId w:val="29"/>
  </w:num>
  <w:num w:numId="16" w16cid:durableId="1622371108">
    <w:abstractNumId w:val="12"/>
  </w:num>
  <w:num w:numId="17" w16cid:durableId="1519927422">
    <w:abstractNumId w:val="4"/>
  </w:num>
  <w:num w:numId="18" w16cid:durableId="1452625439">
    <w:abstractNumId w:val="30"/>
  </w:num>
  <w:num w:numId="19" w16cid:durableId="1276059461">
    <w:abstractNumId w:val="33"/>
  </w:num>
  <w:num w:numId="20" w16cid:durableId="844130067">
    <w:abstractNumId w:val="21"/>
  </w:num>
  <w:num w:numId="21" w16cid:durableId="56900931">
    <w:abstractNumId w:val="10"/>
  </w:num>
  <w:num w:numId="22" w16cid:durableId="311255606">
    <w:abstractNumId w:val="35"/>
  </w:num>
  <w:num w:numId="23" w16cid:durableId="1819884918">
    <w:abstractNumId w:val="15"/>
  </w:num>
  <w:num w:numId="24" w16cid:durableId="1927182689">
    <w:abstractNumId w:val="14"/>
  </w:num>
  <w:num w:numId="25" w16cid:durableId="572932113">
    <w:abstractNumId w:val="32"/>
  </w:num>
  <w:num w:numId="26" w16cid:durableId="202595320">
    <w:abstractNumId w:val="13"/>
  </w:num>
  <w:num w:numId="27" w16cid:durableId="400838206">
    <w:abstractNumId w:val="3"/>
  </w:num>
  <w:num w:numId="28" w16cid:durableId="1295981814">
    <w:abstractNumId w:val="28"/>
  </w:num>
  <w:num w:numId="29" w16cid:durableId="1777559382">
    <w:abstractNumId w:val="18"/>
  </w:num>
  <w:num w:numId="30" w16cid:durableId="964503629">
    <w:abstractNumId w:val="7"/>
  </w:num>
  <w:num w:numId="31" w16cid:durableId="269050894">
    <w:abstractNumId w:val="22"/>
  </w:num>
  <w:num w:numId="32" w16cid:durableId="2143694091">
    <w:abstractNumId w:val="16"/>
  </w:num>
  <w:num w:numId="33" w16cid:durableId="385378807">
    <w:abstractNumId w:val="19"/>
  </w:num>
  <w:num w:numId="34" w16cid:durableId="1374844568">
    <w:abstractNumId w:val="34"/>
  </w:num>
  <w:num w:numId="35" w16cid:durableId="1019892525">
    <w:abstractNumId w:val="20"/>
  </w:num>
  <w:num w:numId="36" w16cid:durableId="160045828">
    <w:abstractNumId w:val="9"/>
  </w:num>
  <w:num w:numId="37" w16cid:durableId="1754281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E"/>
    <w:rsid w:val="00003A31"/>
    <w:rsid w:val="00003D56"/>
    <w:rsid w:val="00016BA5"/>
    <w:rsid w:val="000235F1"/>
    <w:rsid w:val="00067ACB"/>
    <w:rsid w:val="000A6B72"/>
    <w:rsid w:val="001232F7"/>
    <w:rsid w:val="00145E07"/>
    <w:rsid w:val="00150077"/>
    <w:rsid w:val="00160DDB"/>
    <w:rsid w:val="00166ECD"/>
    <w:rsid w:val="0017492D"/>
    <w:rsid w:val="001F4D85"/>
    <w:rsid w:val="002136FA"/>
    <w:rsid w:val="002B3172"/>
    <w:rsid w:val="002C2744"/>
    <w:rsid w:val="002C3EBA"/>
    <w:rsid w:val="00303273"/>
    <w:rsid w:val="003618F7"/>
    <w:rsid w:val="00390605"/>
    <w:rsid w:val="003B72F9"/>
    <w:rsid w:val="003D5533"/>
    <w:rsid w:val="003F41A5"/>
    <w:rsid w:val="003F5D44"/>
    <w:rsid w:val="00482755"/>
    <w:rsid w:val="00491FC3"/>
    <w:rsid w:val="00492946"/>
    <w:rsid w:val="005530BE"/>
    <w:rsid w:val="00586022"/>
    <w:rsid w:val="006158C3"/>
    <w:rsid w:val="006169F3"/>
    <w:rsid w:val="0062199A"/>
    <w:rsid w:val="0063634E"/>
    <w:rsid w:val="00663AB9"/>
    <w:rsid w:val="006B5DBD"/>
    <w:rsid w:val="00702A0A"/>
    <w:rsid w:val="00710463"/>
    <w:rsid w:val="00753099"/>
    <w:rsid w:val="00756181"/>
    <w:rsid w:val="007814B8"/>
    <w:rsid w:val="00782A49"/>
    <w:rsid w:val="007A2128"/>
    <w:rsid w:val="007A51CE"/>
    <w:rsid w:val="007E79E0"/>
    <w:rsid w:val="007F7552"/>
    <w:rsid w:val="00812888"/>
    <w:rsid w:val="00843DB7"/>
    <w:rsid w:val="00853342"/>
    <w:rsid w:val="008D299E"/>
    <w:rsid w:val="008E31C9"/>
    <w:rsid w:val="008F5F96"/>
    <w:rsid w:val="00964FBB"/>
    <w:rsid w:val="009C26BB"/>
    <w:rsid w:val="00A816C8"/>
    <w:rsid w:val="00A91623"/>
    <w:rsid w:val="00AA15B7"/>
    <w:rsid w:val="00AB44F8"/>
    <w:rsid w:val="00AD2034"/>
    <w:rsid w:val="00AF4DA4"/>
    <w:rsid w:val="00B00A88"/>
    <w:rsid w:val="00B167E0"/>
    <w:rsid w:val="00B21BDE"/>
    <w:rsid w:val="00B927CA"/>
    <w:rsid w:val="00BE1399"/>
    <w:rsid w:val="00C1694E"/>
    <w:rsid w:val="00C328D7"/>
    <w:rsid w:val="00C413DF"/>
    <w:rsid w:val="00C50F67"/>
    <w:rsid w:val="00C8405D"/>
    <w:rsid w:val="00CD6CB8"/>
    <w:rsid w:val="00CE0F74"/>
    <w:rsid w:val="00D010A4"/>
    <w:rsid w:val="00D301A6"/>
    <w:rsid w:val="00D53E69"/>
    <w:rsid w:val="00D663B2"/>
    <w:rsid w:val="00D6799F"/>
    <w:rsid w:val="00DB3EDB"/>
    <w:rsid w:val="00DB549D"/>
    <w:rsid w:val="00DE02E8"/>
    <w:rsid w:val="00DF1986"/>
    <w:rsid w:val="00E648C1"/>
    <w:rsid w:val="00E66672"/>
    <w:rsid w:val="00E76677"/>
    <w:rsid w:val="00E87698"/>
    <w:rsid w:val="00F24281"/>
    <w:rsid w:val="00F40C8C"/>
    <w:rsid w:val="00F461AB"/>
    <w:rsid w:val="00FA230F"/>
    <w:rsid w:val="00FE64FF"/>
    <w:rsid w:val="00FE7F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ABE2"/>
  <w15:chartTrackingRefBased/>
  <w15:docId w15:val="{0EE90CD4-E71E-429E-8469-57DE4402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4E"/>
    <w:pPr>
      <w:spacing w:after="0" w:line="288" w:lineRule="auto"/>
      <w:jc w:val="both"/>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qFormat/>
    <w:rsid w:val="00C1694E"/>
    <w:pPr>
      <w:numPr>
        <w:numId w:val="1"/>
      </w:numPr>
      <w:ind w:left="567" w:hanging="567"/>
      <w:outlineLvl w:val="0"/>
    </w:pPr>
    <w:rPr>
      <w:kern w:val="28"/>
    </w:rPr>
  </w:style>
  <w:style w:type="paragraph" w:styleId="Heading2">
    <w:name w:val="heading 2"/>
    <w:basedOn w:val="Normal"/>
    <w:next w:val="Normal"/>
    <w:link w:val="Heading2Char"/>
    <w:qFormat/>
    <w:rsid w:val="00C1694E"/>
    <w:pPr>
      <w:numPr>
        <w:ilvl w:val="1"/>
        <w:numId w:val="1"/>
      </w:numPr>
      <w:ind w:left="567" w:hanging="567"/>
      <w:outlineLvl w:val="1"/>
    </w:pPr>
  </w:style>
  <w:style w:type="paragraph" w:styleId="Heading3">
    <w:name w:val="heading 3"/>
    <w:basedOn w:val="Normal"/>
    <w:next w:val="Normal"/>
    <w:link w:val="Heading3Char"/>
    <w:qFormat/>
    <w:rsid w:val="00C1694E"/>
    <w:pPr>
      <w:numPr>
        <w:ilvl w:val="2"/>
        <w:numId w:val="1"/>
      </w:numPr>
      <w:ind w:left="567" w:hanging="567"/>
      <w:outlineLvl w:val="2"/>
    </w:pPr>
  </w:style>
  <w:style w:type="paragraph" w:styleId="Heading4">
    <w:name w:val="heading 4"/>
    <w:basedOn w:val="Normal"/>
    <w:next w:val="Normal"/>
    <w:link w:val="Heading4Char"/>
    <w:qFormat/>
    <w:rsid w:val="00C1694E"/>
    <w:pPr>
      <w:numPr>
        <w:ilvl w:val="3"/>
        <w:numId w:val="1"/>
      </w:numPr>
      <w:ind w:left="567" w:hanging="567"/>
      <w:outlineLvl w:val="3"/>
    </w:pPr>
  </w:style>
  <w:style w:type="paragraph" w:styleId="Heading5">
    <w:name w:val="heading 5"/>
    <w:basedOn w:val="Normal"/>
    <w:next w:val="Normal"/>
    <w:link w:val="Heading5Char"/>
    <w:qFormat/>
    <w:rsid w:val="00C1694E"/>
    <w:pPr>
      <w:numPr>
        <w:ilvl w:val="4"/>
        <w:numId w:val="1"/>
      </w:numPr>
      <w:ind w:left="567" w:hanging="567"/>
      <w:outlineLvl w:val="4"/>
    </w:pPr>
  </w:style>
  <w:style w:type="paragraph" w:styleId="Heading6">
    <w:name w:val="heading 6"/>
    <w:basedOn w:val="Normal"/>
    <w:next w:val="Normal"/>
    <w:link w:val="Heading6Char"/>
    <w:qFormat/>
    <w:rsid w:val="00C1694E"/>
    <w:pPr>
      <w:numPr>
        <w:ilvl w:val="5"/>
        <w:numId w:val="1"/>
      </w:numPr>
      <w:ind w:left="567" w:hanging="567"/>
      <w:outlineLvl w:val="5"/>
    </w:pPr>
  </w:style>
  <w:style w:type="paragraph" w:styleId="Heading7">
    <w:name w:val="heading 7"/>
    <w:basedOn w:val="Normal"/>
    <w:next w:val="Normal"/>
    <w:link w:val="Heading7Char"/>
    <w:qFormat/>
    <w:rsid w:val="00C1694E"/>
    <w:pPr>
      <w:numPr>
        <w:ilvl w:val="6"/>
        <w:numId w:val="1"/>
      </w:numPr>
      <w:ind w:left="567" w:hanging="567"/>
      <w:outlineLvl w:val="6"/>
    </w:pPr>
  </w:style>
  <w:style w:type="paragraph" w:styleId="Heading8">
    <w:name w:val="heading 8"/>
    <w:basedOn w:val="Normal"/>
    <w:next w:val="Normal"/>
    <w:link w:val="Heading8Char"/>
    <w:qFormat/>
    <w:rsid w:val="00C1694E"/>
    <w:pPr>
      <w:numPr>
        <w:ilvl w:val="7"/>
        <w:numId w:val="1"/>
      </w:numPr>
      <w:ind w:left="567" w:hanging="567"/>
      <w:outlineLvl w:val="7"/>
    </w:pPr>
  </w:style>
  <w:style w:type="paragraph" w:styleId="Heading9">
    <w:name w:val="heading 9"/>
    <w:basedOn w:val="Normal"/>
    <w:next w:val="Normal"/>
    <w:link w:val="Heading9Char"/>
    <w:qFormat/>
    <w:rsid w:val="00C1694E"/>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94E"/>
    <w:rPr>
      <w:rFonts w:ascii="Times New Roman" w:eastAsia="Times New Roman" w:hAnsi="Times New Roman" w:cs="Times New Roman"/>
      <w:kern w:val="28"/>
      <w:sz w:val="22"/>
      <w:szCs w:val="22"/>
      <w:lang w:val="en-US"/>
      <w14:ligatures w14:val="none"/>
    </w:rPr>
  </w:style>
  <w:style w:type="character" w:customStyle="1" w:styleId="Heading2Char">
    <w:name w:val="Heading 2 Char"/>
    <w:basedOn w:val="DefaultParagraphFont"/>
    <w:link w:val="Heading2"/>
    <w:rsid w:val="00C1694E"/>
    <w:rPr>
      <w:rFonts w:ascii="Times New Roman" w:eastAsia="Times New Roman" w:hAnsi="Times New Roman" w:cs="Times New Roman"/>
      <w:kern w:val="0"/>
      <w:sz w:val="22"/>
      <w:szCs w:val="22"/>
      <w:lang w:val="en-US"/>
      <w14:ligatures w14:val="none"/>
    </w:rPr>
  </w:style>
  <w:style w:type="character" w:customStyle="1" w:styleId="Heading3Char">
    <w:name w:val="Heading 3 Char"/>
    <w:basedOn w:val="DefaultParagraphFont"/>
    <w:link w:val="Heading3"/>
    <w:rsid w:val="00C1694E"/>
    <w:rPr>
      <w:rFonts w:ascii="Times New Roman" w:eastAsia="Times New Roman" w:hAnsi="Times New Roman" w:cs="Times New Roman"/>
      <w:kern w:val="0"/>
      <w:sz w:val="22"/>
      <w:szCs w:val="22"/>
      <w:lang w:val="en-US"/>
      <w14:ligatures w14:val="none"/>
    </w:rPr>
  </w:style>
  <w:style w:type="character" w:customStyle="1" w:styleId="Heading4Char">
    <w:name w:val="Heading 4 Char"/>
    <w:basedOn w:val="DefaultParagraphFont"/>
    <w:link w:val="Heading4"/>
    <w:rsid w:val="00C1694E"/>
    <w:rPr>
      <w:rFonts w:ascii="Times New Roman" w:eastAsia="Times New Roman" w:hAnsi="Times New Roman" w:cs="Times New Roman"/>
      <w:kern w:val="0"/>
      <w:sz w:val="22"/>
      <w:szCs w:val="22"/>
      <w:lang w:val="en-US"/>
      <w14:ligatures w14:val="none"/>
    </w:rPr>
  </w:style>
  <w:style w:type="character" w:customStyle="1" w:styleId="Heading5Char">
    <w:name w:val="Heading 5 Char"/>
    <w:basedOn w:val="DefaultParagraphFont"/>
    <w:link w:val="Heading5"/>
    <w:rsid w:val="00C1694E"/>
    <w:rPr>
      <w:rFonts w:ascii="Times New Roman" w:eastAsia="Times New Roman" w:hAnsi="Times New Roman" w:cs="Times New Roman"/>
      <w:kern w:val="0"/>
      <w:sz w:val="22"/>
      <w:szCs w:val="22"/>
      <w:lang w:val="en-US"/>
      <w14:ligatures w14:val="none"/>
    </w:rPr>
  </w:style>
  <w:style w:type="character" w:customStyle="1" w:styleId="Heading6Char">
    <w:name w:val="Heading 6 Char"/>
    <w:basedOn w:val="DefaultParagraphFont"/>
    <w:link w:val="Heading6"/>
    <w:rsid w:val="00C1694E"/>
    <w:rPr>
      <w:rFonts w:ascii="Times New Roman" w:eastAsia="Times New Roman" w:hAnsi="Times New Roman" w:cs="Times New Roman"/>
      <w:kern w:val="0"/>
      <w:sz w:val="22"/>
      <w:szCs w:val="22"/>
      <w:lang w:val="en-US"/>
      <w14:ligatures w14:val="none"/>
    </w:rPr>
  </w:style>
  <w:style w:type="character" w:customStyle="1" w:styleId="Heading7Char">
    <w:name w:val="Heading 7 Char"/>
    <w:basedOn w:val="DefaultParagraphFont"/>
    <w:link w:val="Heading7"/>
    <w:rsid w:val="00C1694E"/>
    <w:rPr>
      <w:rFonts w:ascii="Times New Roman" w:eastAsia="Times New Roman" w:hAnsi="Times New Roman" w:cs="Times New Roman"/>
      <w:kern w:val="0"/>
      <w:sz w:val="22"/>
      <w:szCs w:val="22"/>
      <w:lang w:val="en-US"/>
      <w14:ligatures w14:val="none"/>
    </w:rPr>
  </w:style>
  <w:style w:type="character" w:customStyle="1" w:styleId="Heading8Char">
    <w:name w:val="Heading 8 Char"/>
    <w:basedOn w:val="DefaultParagraphFont"/>
    <w:link w:val="Heading8"/>
    <w:rsid w:val="00C1694E"/>
    <w:rPr>
      <w:rFonts w:ascii="Times New Roman" w:eastAsia="Times New Roman" w:hAnsi="Times New Roman" w:cs="Times New Roman"/>
      <w:kern w:val="0"/>
      <w:sz w:val="22"/>
      <w:szCs w:val="22"/>
      <w:lang w:val="en-US"/>
      <w14:ligatures w14:val="none"/>
    </w:rPr>
  </w:style>
  <w:style w:type="character" w:customStyle="1" w:styleId="Heading9Char">
    <w:name w:val="Heading 9 Char"/>
    <w:basedOn w:val="DefaultParagraphFont"/>
    <w:link w:val="Heading9"/>
    <w:rsid w:val="00C1694E"/>
    <w:rPr>
      <w:rFonts w:ascii="Times New Roman" w:eastAsia="Times New Roman" w:hAnsi="Times New Roman" w:cs="Times New Roman"/>
      <w:kern w:val="0"/>
      <w:sz w:val="22"/>
      <w:szCs w:val="22"/>
      <w:lang w:val="en-US"/>
      <w14:ligatures w14:val="none"/>
    </w:rPr>
  </w:style>
  <w:style w:type="paragraph" w:styleId="Title">
    <w:name w:val="Title"/>
    <w:basedOn w:val="Normal"/>
    <w:next w:val="Normal"/>
    <w:link w:val="TitleChar"/>
    <w:uiPriority w:val="10"/>
    <w:qFormat/>
    <w:rsid w:val="00C16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9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94E"/>
    <w:rPr>
      <w:i/>
      <w:iCs/>
      <w:color w:val="404040" w:themeColor="text1" w:themeTint="BF"/>
    </w:rPr>
  </w:style>
  <w:style w:type="paragraph" w:styleId="ListParagraph">
    <w:name w:val="List Paragraph"/>
    <w:basedOn w:val="Normal"/>
    <w:uiPriority w:val="34"/>
    <w:qFormat/>
    <w:rsid w:val="00C1694E"/>
    <w:pPr>
      <w:ind w:left="720"/>
      <w:contextualSpacing/>
    </w:pPr>
  </w:style>
  <w:style w:type="character" w:styleId="IntenseEmphasis">
    <w:name w:val="Intense Emphasis"/>
    <w:basedOn w:val="DefaultParagraphFont"/>
    <w:uiPriority w:val="21"/>
    <w:qFormat/>
    <w:rsid w:val="00C1694E"/>
    <w:rPr>
      <w:i/>
      <w:iCs/>
      <w:color w:val="0F4761" w:themeColor="accent1" w:themeShade="BF"/>
    </w:rPr>
  </w:style>
  <w:style w:type="paragraph" w:styleId="IntenseQuote">
    <w:name w:val="Intense Quote"/>
    <w:basedOn w:val="Normal"/>
    <w:next w:val="Normal"/>
    <w:link w:val="IntenseQuoteChar"/>
    <w:uiPriority w:val="30"/>
    <w:qFormat/>
    <w:rsid w:val="00C16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94E"/>
    <w:rPr>
      <w:i/>
      <w:iCs/>
      <w:color w:val="0F4761" w:themeColor="accent1" w:themeShade="BF"/>
    </w:rPr>
  </w:style>
  <w:style w:type="character" w:styleId="IntenseReference">
    <w:name w:val="Intense Reference"/>
    <w:basedOn w:val="DefaultParagraphFont"/>
    <w:uiPriority w:val="32"/>
    <w:qFormat/>
    <w:rsid w:val="00C1694E"/>
    <w:rPr>
      <w:b/>
      <w:bCs/>
      <w:smallCaps/>
      <w:color w:val="0F4761" w:themeColor="accent1" w:themeShade="BF"/>
      <w:spacing w:val="5"/>
    </w:rPr>
  </w:style>
  <w:style w:type="paragraph" w:styleId="Footer">
    <w:name w:val="footer"/>
    <w:basedOn w:val="Normal"/>
    <w:link w:val="FooterChar"/>
    <w:uiPriority w:val="99"/>
    <w:qFormat/>
    <w:rsid w:val="00C1694E"/>
  </w:style>
  <w:style w:type="character" w:customStyle="1" w:styleId="FooterChar">
    <w:name w:val="Footer Char"/>
    <w:basedOn w:val="DefaultParagraphFont"/>
    <w:link w:val="Footer"/>
    <w:uiPriority w:val="99"/>
    <w:rsid w:val="00C1694E"/>
    <w:rPr>
      <w:rFonts w:ascii="Times New Roman" w:eastAsia="Times New Roman" w:hAnsi="Times New Roman" w:cs="Times New Roman"/>
      <w:kern w:val="0"/>
      <w:sz w:val="22"/>
      <w:szCs w:val="22"/>
      <w:lang w:val="en-US"/>
      <w14:ligatures w14:val="none"/>
    </w:rPr>
  </w:style>
  <w:style w:type="paragraph" w:styleId="FootnoteText">
    <w:name w:val="footnote text"/>
    <w:basedOn w:val="Normal"/>
    <w:link w:val="FootnoteTextChar"/>
    <w:qFormat/>
    <w:rsid w:val="00C1694E"/>
    <w:pPr>
      <w:keepLines/>
      <w:spacing w:after="60" w:line="240" w:lineRule="auto"/>
      <w:ind w:left="567" w:hanging="567"/>
    </w:pPr>
    <w:rPr>
      <w:sz w:val="16"/>
    </w:rPr>
  </w:style>
  <w:style w:type="character" w:customStyle="1" w:styleId="FootnoteTextChar">
    <w:name w:val="Footnote Text Char"/>
    <w:basedOn w:val="DefaultParagraphFont"/>
    <w:link w:val="FootnoteText"/>
    <w:rsid w:val="00C1694E"/>
    <w:rPr>
      <w:rFonts w:ascii="Times New Roman" w:eastAsia="Times New Roman" w:hAnsi="Times New Roman" w:cs="Times New Roman"/>
      <w:kern w:val="0"/>
      <w:sz w:val="16"/>
      <w:szCs w:val="22"/>
      <w:lang w:val="en-US"/>
      <w14:ligatures w14:val="none"/>
    </w:rPr>
  </w:style>
  <w:style w:type="paragraph" w:styleId="Header">
    <w:name w:val="header"/>
    <w:basedOn w:val="Normal"/>
    <w:link w:val="HeaderChar"/>
    <w:qFormat/>
    <w:rsid w:val="00C1694E"/>
  </w:style>
  <w:style w:type="character" w:customStyle="1" w:styleId="HeaderChar">
    <w:name w:val="Header Char"/>
    <w:basedOn w:val="DefaultParagraphFont"/>
    <w:link w:val="Header"/>
    <w:rsid w:val="00C1694E"/>
    <w:rPr>
      <w:rFonts w:ascii="Times New Roman" w:eastAsia="Times New Roman" w:hAnsi="Times New Roman" w:cs="Times New Roman"/>
      <w:kern w:val="0"/>
      <w:sz w:val="22"/>
      <w:szCs w:val="22"/>
      <w:lang w:val="en-US"/>
      <w14:ligatures w14:val="none"/>
    </w:rPr>
  </w:style>
  <w:style w:type="paragraph" w:customStyle="1" w:styleId="quotes">
    <w:name w:val="quotes"/>
    <w:basedOn w:val="Normal"/>
    <w:next w:val="Normal"/>
    <w:rsid w:val="00C1694E"/>
    <w:pPr>
      <w:ind w:left="720"/>
    </w:pPr>
    <w:rPr>
      <w:i/>
    </w:rPr>
  </w:style>
  <w:style w:type="character" w:styleId="FootnoteReference">
    <w:name w:val="footnote reference"/>
    <w:basedOn w:val="DefaultParagraphFont"/>
    <w:unhideWhenUsed/>
    <w:qFormat/>
    <w:rsid w:val="00C1694E"/>
    <w:rPr>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96D5-8F5F-4311-B4F7-7AEDAA741CF3}">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31</TotalTime>
  <Pages>4</Pages>
  <Words>1282</Words>
  <Characters>7518</Characters>
  <Application>Microsoft Office Word</Application>
  <DocSecurity>0</DocSecurity>
  <Lines>144</Lines>
  <Paragraphs>55</Paragraphs>
  <ScaleCrop>false</ScaleCrop>
  <HeadingPairs>
    <vt:vector size="2" baseType="variant">
      <vt:variant>
        <vt:lpstr>Cím</vt:lpstr>
      </vt:variant>
      <vt:variant>
        <vt:i4>1</vt:i4>
      </vt:variant>
    </vt:vector>
  </HeadingPairs>
  <TitlesOfParts>
    <vt:vector size="1" baseType="lpstr">
      <vt:lpstr/>
    </vt:vector>
  </TitlesOfParts>
  <Company>CESE-CdR</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Bozini Alexandra;Csak</dc:creator>
  <cp:keywords/>
  <dc:description/>
  <cp:lastModifiedBy>Bozini Alexandra</cp:lastModifiedBy>
  <cp:revision>5</cp:revision>
  <dcterms:created xsi:type="dcterms:W3CDTF">2025-10-28T06:34:00Z</dcterms:created>
  <dcterms:modified xsi:type="dcterms:W3CDTF">2025-10-29T12:13:00Z</dcterms:modified>
</cp:coreProperties>
</file>