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9" w:type="dxa"/>
        <w:tblLayout w:type="fixed"/>
        <w:tblLook w:val="0000" w:firstRow="0" w:lastRow="0" w:firstColumn="0" w:lastColumn="0" w:noHBand="0" w:noVBand="0"/>
      </w:tblPr>
      <w:tblGrid>
        <w:gridCol w:w="4644"/>
        <w:gridCol w:w="4645"/>
      </w:tblGrid>
      <w:tr w:rsidR="00C1694E" w:rsidRPr="001B33A4" w14:paraId="3C80CAD3" w14:textId="77777777" w:rsidTr="00555B82">
        <w:trPr>
          <w:cantSplit/>
        </w:trPr>
        <w:tc>
          <w:tcPr>
            <w:tcW w:w="4644" w:type="dxa"/>
          </w:tcPr>
          <w:p w14:paraId="5A540C5E" w14:textId="77777777" w:rsidR="00C1694E" w:rsidRDefault="00C1694E" w:rsidP="00555B82">
            <w:r w:rsidRPr="00E660F8">
              <w:rPr>
                <w:noProof/>
              </w:rPr>
              <w:drawing>
                <wp:inline distT="0" distB="0" distL="0" distR="0" wp14:anchorId="12C7ABA0" wp14:editId="110FDC57">
                  <wp:extent cx="1799590" cy="1558290"/>
                  <wp:effectExtent l="0" t="0" r="0" b="3810"/>
                  <wp:docPr id="3" name="Picture 3" title="CoRLogo_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title="CoRLogo_EN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55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B5D25" w14:textId="77777777" w:rsidR="00C1694E" w:rsidRDefault="00C1694E" w:rsidP="00555B82"/>
          <w:p w14:paraId="62E13CF7" w14:textId="77777777" w:rsidR="00C1694E" w:rsidRDefault="00C1694E" w:rsidP="00555B82"/>
          <w:p w14:paraId="75ECB87A" w14:textId="77777777" w:rsidR="00C1694E" w:rsidRPr="001B33A4" w:rsidRDefault="00C1694E" w:rsidP="00555B82"/>
        </w:tc>
        <w:tc>
          <w:tcPr>
            <w:tcW w:w="4645" w:type="dxa"/>
          </w:tcPr>
          <w:p w14:paraId="156E1DFA" w14:textId="77777777" w:rsidR="00C1694E" w:rsidRPr="001B33A4" w:rsidRDefault="00C1694E" w:rsidP="00555B82"/>
        </w:tc>
      </w:tr>
    </w:tbl>
    <w:p w14:paraId="33F1D3AD" w14:textId="77777777" w:rsidR="00C1694E" w:rsidRPr="00334D96" w:rsidRDefault="00C1694E" w:rsidP="00C1694E"/>
    <w:p w14:paraId="5F525136" w14:textId="77777777" w:rsidR="00C1694E" w:rsidRPr="00334D96" w:rsidRDefault="00C1694E" w:rsidP="00C1694E"/>
    <w:p w14:paraId="74027BC0" w14:textId="6FE723BC" w:rsidR="00C1694E" w:rsidRPr="00C1694E" w:rsidRDefault="00C1694E" w:rsidP="00C1694E">
      <w:pPr>
        <w:jc w:val="center"/>
        <w:rPr>
          <w:b/>
          <w:bCs/>
          <w:sz w:val="40"/>
          <w:szCs w:val="40"/>
        </w:rPr>
      </w:pPr>
      <w:r w:rsidRPr="00C1694E">
        <w:rPr>
          <w:b/>
          <w:sz w:val="40"/>
          <w:szCs w:val="40"/>
        </w:rPr>
        <w:t>WORKING DOCUMENT</w:t>
      </w:r>
    </w:p>
    <w:p w14:paraId="1E526D9D" w14:textId="77777777" w:rsidR="00C1694E" w:rsidRPr="00F015D7" w:rsidRDefault="00C1694E" w:rsidP="00C1694E"/>
    <w:p w14:paraId="5953DA62" w14:textId="4F5FF045" w:rsidR="00C1694E" w:rsidRPr="00F015D7" w:rsidRDefault="00AE00F3" w:rsidP="00C1694E">
      <w:pPr>
        <w:ind w:left="1134" w:right="1134"/>
        <w:jc w:val="center"/>
        <w:rPr>
          <w:b/>
          <w:sz w:val="28"/>
          <w:szCs w:val="28"/>
        </w:rPr>
      </w:pPr>
      <w:proofErr w:type="spellStart"/>
      <w:r w:rsidRPr="00AE00F3">
        <w:rPr>
          <w:b/>
          <w:sz w:val="28"/>
          <w:szCs w:val="28"/>
        </w:rPr>
        <w:t>Szociálpolitikai</w:t>
      </w:r>
      <w:proofErr w:type="spellEnd"/>
      <w:r w:rsidRPr="00AE00F3">
        <w:rPr>
          <w:b/>
          <w:sz w:val="28"/>
          <w:szCs w:val="28"/>
        </w:rPr>
        <w:t xml:space="preserve">, </w:t>
      </w:r>
      <w:proofErr w:type="spellStart"/>
      <w:r w:rsidRPr="00AE00F3">
        <w:rPr>
          <w:b/>
          <w:sz w:val="28"/>
          <w:szCs w:val="28"/>
        </w:rPr>
        <w:t>Oktatási</w:t>
      </w:r>
      <w:proofErr w:type="spellEnd"/>
      <w:r w:rsidRPr="00AE00F3">
        <w:rPr>
          <w:b/>
          <w:sz w:val="28"/>
          <w:szCs w:val="28"/>
        </w:rPr>
        <w:t xml:space="preserve">, </w:t>
      </w:r>
      <w:proofErr w:type="spellStart"/>
      <w:r w:rsidRPr="00AE00F3">
        <w:rPr>
          <w:b/>
          <w:sz w:val="28"/>
          <w:szCs w:val="28"/>
        </w:rPr>
        <w:t>Foglalkoztatási</w:t>
      </w:r>
      <w:proofErr w:type="spellEnd"/>
      <w:r w:rsidRPr="00AE00F3">
        <w:rPr>
          <w:b/>
          <w:sz w:val="28"/>
          <w:szCs w:val="28"/>
        </w:rPr>
        <w:t xml:space="preserve">, </w:t>
      </w:r>
      <w:proofErr w:type="spellStart"/>
      <w:r w:rsidRPr="00AE00F3">
        <w:rPr>
          <w:b/>
          <w:sz w:val="28"/>
          <w:szCs w:val="28"/>
        </w:rPr>
        <w:t>Kutatási</w:t>
      </w:r>
      <w:proofErr w:type="spellEnd"/>
      <w:r w:rsidRPr="00AE00F3">
        <w:rPr>
          <w:b/>
          <w:sz w:val="28"/>
          <w:szCs w:val="28"/>
        </w:rPr>
        <w:t xml:space="preserve"> </w:t>
      </w:r>
      <w:proofErr w:type="spellStart"/>
      <w:r w:rsidRPr="00AE00F3">
        <w:rPr>
          <w:b/>
          <w:sz w:val="28"/>
          <w:szCs w:val="28"/>
        </w:rPr>
        <w:t>és</w:t>
      </w:r>
      <w:proofErr w:type="spellEnd"/>
      <w:r w:rsidRPr="00AE00F3">
        <w:rPr>
          <w:b/>
          <w:sz w:val="28"/>
          <w:szCs w:val="28"/>
        </w:rPr>
        <w:t xml:space="preserve"> </w:t>
      </w:r>
      <w:proofErr w:type="spellStart"/>
      <w:r w:rsidRPr="00AE00F3">
        <w:rPr>
          <w:b/>
          <w:sz w:val="28"/>
          <w:szCs w:val="28"/>
        </w:rPr>
        <w:t>Kulturális</w:t>
      </w:r>
      <w:proofErr w:type="spellEnd"/>
      <w:r w:rsidRPr="00AE00F3">
        <w:rPr>
          <w:b/>
          <w:sz w:val="28"/>
          <w:szCs w:val="28"/>
        </w:rPr>
        <w:t xml:space="preserve"> </w:t>
      </w:r>
      <w:proofErr w:type="spellStart"/>
      <w:r w:rsidRPr="00AE00F3">
        <w:rPr>
          <w:b/>
          <w:sz w:val="28"/>
          <w:szCs w:val="28"/>
        </w:rPr>
        <w:t>Bizottság</w:t>
      </w:r>
      <w:proofErr w:type="spellEnd"/>
    </w:p>
    <w:p w14:paraId="00EDD3F2" w14:textId="2F44B1D5" w:rsidR="00C1694E" w:rsidRPr="00852E6B" w:rsidRDefault="00C1694E" w:rsidP="00C1694E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="008F5F96">
        <w:rPr>
          <w:b/>
          <w:sz w:val="36"/>
          <w:szCs w:val="36"/>
        </w:rPr>
        <w:t>gora</w:t>
      </w:r>
      <w:r>
        <w:rPr>
          <w:b/>
          <w:sz w:val="36"/>
          <w:szCs w:val="36"/>
        </w:rPr>
        <w:t>EU</w:t>
      </w:r>
    </w:p>
    <w:p w14:paraId="3EE8A56F" w14:textId="77777777" w:rsidR="00C1694E" w:rsidRPr="00334D96" w:rsidRDefault="00C1694E" w:rsidP="00C1694E">
      <w:pPr>
        <w:jc w:val="left"/>
      </w:pPr>
    </w:p>
    <w:p w14:paraId="7E1F67D7" w14:textId="77777777" w:rsidR="00C1694E" w:rsidRPr="00334D96" w:rsidRDefault="00C1694E" w:rsidP="00C1694E"/>
    <w:tbl>
      <w:tblPr>
        <w:tblW w:w="5000" w:type="pct"/>
        <w:tblLook w:val="0000" w:firstRow="0" w:lastRow="0" w:firstColumn="0" w:lastColumn="0" w:noHBand="0" w:noVBand="0"/>
      </w:tblPr>
      <w:tblGrid>
        <w:gridCol w:w="9073"/>
      </w:tblGrid>
      <w:tr w:rsidR="00C1694E" w:rsidRPr="00334D96" w14:paraId="56C58311" w14:textId="77777777" w:rsidTr="00555B82">
        <w:tc>
          <w:tcPr>
            <w:tcW w:w="5000" w:type="pct"/>
          </w:tcPr>
          <w:p w14:paraId="15DFAA94" w14:textId="77777777" w:rsidR="00C1694E" w:rsidRPr="008F5F96" w:rsidRDefault="00C1694E" w:rsidP="00555B82">
            <w:pPr>
              <w:jc w:val="center"/>
              <w:rPr>
                <w:lang w:val="en-GB"/>
              </w:rPr>
            </w:pPr>
            <w:r w:rsidRPr="008F5F96">
              <w:rPr>
                <w:lang w:val="en-GB"/>
              </w:rPr>
              <w:t>___________</w:t>
            </w:r>
          </w:p>
          <w:p w14:paraId="409FB2D4" w14:textId="77777777" w:rsidR="00C1694E" w:rsidRPr="008F5F96" w:rsidRDefault="00C1694E" w:rsidP="00555B82">
            <w:pPr>
              <w:jc w:val="center"/>
              <w:rPr>
                <w:lang w:val="en-GB"/>
              </w:rPr>
            </w:pPr>
          </w:p>
          <w:p w14:paraId="2F77ABDE" w14:textId="77777777" w:rsidR="00AE00F3" w:rsidRPr="00AE00F3" w:rsidRDefault="00AE00F3" w:rsidP="00AE00F3">
            <w:pPr>
              <w:jc w:val="center"/>
              <w:rPr>
                <w:lang w:val="en-GB"/>
              </w:rPr>
            </w:pPr>
            <w:proofErr w:type="spellStart"/>
            <w:r w:rsidRPr="00AE00F3">
              <w:rPr>
                <w:b/>
                <w:bCs/>
                <w:lang w:val="en-GB"/>
              </w:rPr>
              <w:t>Előadó</w:t>
            </w:r>
            <w:proofErr w:type="spellEnd"/>
            <w:r w:rsidRPr="00AE00F3">
              <w:rPr>
                <w:b/>
                <w:bCs/>
                <w:lang w:val="en-GB"/>
              </w:rPr>
              <w:t>:</w:t>
            </w:r>
            <w:r w:rsidRPr="00AE00F3">
              <w:rPr>
                <w:lang w:val="en-GB"/>
              </w:rPr>
              <w:t xml:space="preserve"> Csaba Borboly (RO/EPP)</w:t>
            </w:r>
            <w:r w:rsidRPr="00AE00F3">
              <w:rPr>
                <w:lang w:val="en-GB"/>
              </w:rPr>
              <w:br/>
              <w:t xml:space="preserve">a Hargita Megyei Tanács </w:t>
            </w:r>
            <w:proofErr w:type="spellStart"/>
            <w:r w:rsidRPr="00AE00F3">
              <w:rPr>
                <w:lang w:val="en-GB"/>
              </w:rPr>
              <w:t>alelnöke</w:t>
            </w:r>
            <w:proofErr w:type="spellEnd"/>
          </w:p>
          <w:p w14:paraId="72EF05FC" w14:textId="77777777" w:rsidR="00C1694E" w:rsidRPr="00334D96" w:rsidRDefault="00C1694E" w:rsidP="00555B82">
            <w:pPr>
              <w:jc w:val="center"/>
            </w:pPr>
            <w:r>
              <w:t>___________</w:t>
            </w:r>
          </w:p>
        </w:tc>
      </w:tr>
    </w:tbl>
    <w:p w14:paraId="7241FA04" w14:textId="77777777" w:rsidR="00C1694E" w:rsidRPr="00334D96" w:rsidRDefault="00C1694E" w:rsidP="00C1694E">
      <w:pPr>
        <w:jc w:val="left"/>
      </w:pPr>
    </w:p>
    <w:p w14:paraId="6821594C" w14:textId="77777777" w:rsidR="00C1694E" w:rsidRPr="00334D96" w:rsidRDefault="00C1694E" w:rsidP="00C1694E">
      <w:pPr>
        <w:jc w:val="left"/>
      </w:pPr>
    </w:p>
    <w:p w14:paraId="626B9D89" w14:textId="77777777" w:rsidR="00C1694E" w:rsidRPr="00334D96" w:rsidRDefault="00C1694E" w:rsidP="00C1694E">
      <w:pPr>
        <w:jc w:val="left"/>
      </w:pPr>
    </w:p>
    <w:p w14:paraId="5587844F" w14:textId="77777777" w:rsidR="00C1694E" w:rsidRPr="00334D96" w:rsidRDefault="00C1694E" w:rsidP="00C1694E">
      <w:pPr>
        <w:jc w:val="left"/>
      </w:pPr>
    </w:p>
    <w:p w14:paraId="4AEBA7FC" w14:textId="77777777" w:rsidR="00C1694E" w:rsidRPr="00334D96" w:rsidRDefault="00C1694E" w:rsidP="00C1694E">
      <w:pPr>
        <w:jc w:val="left"/>
      </w:pPr>
    </w:p>
    <w:p w14:paraId="4D984DDB" w14:textId="77777777" w:rsidR="00C1694E" w:rsidRPr="00334D96" w:rsidRDefault="00C1694E" w:rsidP="00C1694E">
      <w:pPr>
        <w:jc w:val="left"/>
      </w:pPr>
    </w:p>
    <w:p w14:paraId="66EFA632" w14:textId="77777777" w:rsidR="00C1694E" w:rsidRPr="00334D96" w:rsidRDefault="00C1694E" w:rsidP="00C1694E">
      <w:pPr>
        <w:jc w:val="left"/>
      </w:pPr>
    </w:p>
    <w:p w14:paraId="0477E13F" w14:textId="77777777" w:rsidR="00C1694E" w:rsidRDefault="00C1694E" w:rsidP="00C1694E">
      <w:pPr>
        <w:rPr>
          <w:lang w:val="fr-BE"/>
        </w:rPr>
      </w:pPr>
    </w:p>
    <w:p w14:paraId="1BCC14B4" w14:textId="77777777" w:rsidR="00C1694E" w:rsidRPr="00C1694E" w:rsidRDefault="00C1694E" w:rsidP="00C1694E">
      <w:pPr>
        <w:rPr>
          <w:lang w:val="en-GB"/>
        </w:rPr>
      </w:pPr>
    </w:p>
    <w:p w14:paraId="48CB678A" w14:textId="77777777" w:rsidR="00C1694E" w:rsidRPr="00C1694E" w:rsidRDefault="00C1694E" w:rsidP="00C1694E">
      <w:pPr>
        <w:rPr>
          <w:lang w:val="en-GB"/>
        </w:rPr>
      </w:pPr>
    </w:p>
    <w:p w14:paraId="1E95F032" w14:textId="77777777" w:rsidR="00C1694E" w:rsidRPr="00C1694E" w:rsidRDefault="00C1694E" w:rsidP="00C1694E">
      <w:pPr>
        <w:rPr>
          <w:lang w:val="en-GB"/>
        </w:rPr>
      </w:pPr>
    </w:p>
    <w:p w14:paraId="3B2E2E43" w14:textId="77777777" w:rsidR="00C1694E" w:rsidRPr="00C1694E" w:rsidRDefault="00C1694E" w:rsidP="00C1694E">
      <w:pPr>
        <w:rPr>
          <w:lang w:val="en-GB"/>
        </w:rPr>
      </w:pPr>
    </w:p>
    <w:p w14:paraId="38553551" w14:textId="77777777" w:rsidR="00C1694E" w:rsidRPr="00C1694E" w:rsidRDefault="00C1694E" w:rsidP="00C1694E">
      <w:pPr>
        <w:rPr>
          <w:lang w:val="en-GB"/>
        </w:rPr>
      </w:pPr>
    </w:p>
    <w:p w14:paraId="553999F6" w14:textId="77777777" w:rsidR="00C1694E" w:rsidRPr="00C1694E" w:rsidRDefault="00C1694E" w:rsidP="00C1694E">
      <w:pPr>
        <w:rPr>
          <w:lang w:val="en-GB"/>
        </w:rPr>
      </w:pPr>
    </w:p>
    <w:p w14:paraId="77EBF759" w14:textId="77777777" w:rsidR="00C1694E" w:rsidRPr="00C1694E" w:rsidRDefault="00C1694E" w:rsidP="00C1694E">
      <w:pPr>
        <w:rPr>
          <w:lang w:val="en-GB"/>
        </w:rPr>
      </w:pPr>
    </w:p>
    <w:p w14:paraId="5CDF010B" w14:textId="77777777" w:rsidR="00AE00F3" w:rsidRDefault="00AE00F3" w:rsidP="00AE00F3">
      <w:pPr>
        <w:spacing w:before="100" w:beforeAutospacing="1" w:after="100" w:afterAutospacing="1" w:line="240" w:lineRule="auto"/>
        <w:jc w:val="left"/>
        <w:outlineLvl w:val="2"/>
        <w:rPr>
          <w:lang w:val="en-GB"/>
        </w:rPr>
      </w:pPr>
    </w:p>
    <w:p w14:paraId="7E306E7F" w14:textId="4F5DCF1A" w:rsidR="00AE00F3" w:rsidRPr="00AE00F3" w:rsidRDefault="00AE00F3" w:rsidP="00AE00F3">
      <w:pPr>
        <w:spacing w:before="100" w:beforeAutospacing="1" w:after="100" w:afterAutospacing="1" w:line="240" w:lineRule="auto"/>
        <w:jc w:val="left"/>
        <w:outlineLvl w:val="2"/>
        <w:rPr>
          <w:b/>
          <w:bCs/>
          <w:sz w:val="27"/>
          <w:szCs w:val="27"/>
          <w:lang w:val="hu-HU" w:eastAsia="en-GB"/>
        </w:rPr>
      </w:pPr>
      <w:r w:rsidRPr="00AE00F3">
        <w:rPr>
          <w:b/>
          <w:bCs/>
          <w:sz w:val="27"/>
          <w:szCs w:val="27"/>
          <w:lang w:val="hu-HU" w:eastAsia="en-GB"/>
        </w:rPr>
        <w:lastRenderedPageBreak/>
        <w:t xml:space="preserve">Az Európai Bizottság </w:t>
      </w:r>
      <w:proofErr w:type="gramStart"/>
      <w:r w:rsidRPr="00AE00F3">
        <w:rPr>
          <w:b/>
          <w:bCs/>
          <w:sz w:val="27"/>
          <w:szCs w:val="27"/>
          <w:lang w:val="hu-HU" w:eastAsia="en-GB"/>
        </w:rPr>
        <w:t>COM(</w:t>
      </w:r>
      <w:proofErr w:type="gramEnd"/>
      <w:r w:rsidRPr="00AE00F3">
        <w:rPr>
          <w:b/>
          <w:bCs/>
          <w:sz w:val="27"/>
          <w:szCs w:val="27"/>
          <w:lang w:val="hu-HU" w:eastAsia="en-GB"/>
        </w:rPr>
        <w:t>2025) 550 végleges javaslata – az „</w:t>
      </w:r>
      <w:proofErr w:type="spellStart"/>
      <w:r w:rsidRPr="00AE00F3">
        <w:rPr>
          <w:b/>
          <w:bCs/>
          <w:sz w:val="27"/>
          <w:szCs w:val="27"/>
          <w:lang w:val="hu-HU" w:eastAsia="en-GB"/>
        </w:rPr>
        <w:t>AgoraEU</w:t>
      </w:r>
      <w:proofErr w:type="spellEnd"/>
      <w:r w:rsidRPr="00AE00F3">
        <w:rPr>
          <w:b/>
          <w:bCs/>
          <w:sz w:val="27"/>
          <w:szCs w:val="27"/>
          <w:lang w:val="hu-HU" w:eastAsia="en-GB"/>
        </w:rPr>
        <w:t>” program (2028–2034) létrehozása</w:t>
      </w:r>
    </w:p>
    <w:p w14:paraId="230BFDAB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Az Európai Bizottság </w:t>
      </w:r>
      <w:proofErr w:type="gramStart"/>
      <w:r w:rsidRPr="00AE00F3">
        <w:rPr>
          <w:sz w:val="24"/>
          <w:szCs w:val="24"/>
          <w:lang w:val="hu-HU" w:eastAsia="en-GB"/>
        </w:rPr>
        <w:t>COM(</w:t>
      </w:r>
      <w:proofErr w:type="gramEnd"/>
      <w:r w:rsidRPr="00AE00F3">
        <w:rPr>
          <w:sz w:val="24"/>
          <w:szCs w:val="24"/>
          <w:lang w:val="hu-HU" w:eastAsia="en-GB"/>
        </w:rPr>
        <w:t>2025) 550 számú, végleges javaslata az „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>” program (2028–2034) létrehozásáról egy egységes keretet vezet be, amely a Kreatív Európa és az Állampolgárok, Egyenlőség, Jogok és Értékek (CERV) programokat egyetlen, rugalmas finanszírozási eszközbe olvasztja össze.</w:t>
      </w:r>
      <w:r w:rsidRPr="00AE00F3">
        <w:rPr>
          <w:sz w:val="24"/>
          <w:szCs w:val="24"/>
          <w:lang w:val="hu-HU" w:eastAsia="en-GB"/>
        </w:rPr>
        <w:br/>
        <w:t xml:space="preserve">A program átfogó célja, hogy racionalizálja az uniós fellépést a kultúra, a média, a demokrácia, az egyenlőség, a jogok és az értékek területén, miközben növeli a koherenciát, a </w:t>
      </w:r>
      <w:proofErr w:type="spellStart"/>
      <w:r w:rsidRPr="00AE00F3">
        <w:rPr>
          <w:sz w:val="24"/>
          <w:szCs w:val="24"/>
          <w:lang w:val="hu-HU" w:eastAsia="en-GB"/>
        </w:rPr>
        <w:t>láthatóságot</w:t>
      </w:r>
      <w:proofErr w:type="spellEnd"/>
      <w:r w:rsidRPr="00AE00F3">
        <w:rPr>
          <w:sz w:val="24"/>
          <w:szCs w:val="24"/>
          <w:lang w:val="hu-HU" w:eastAsia="en-GB"/>
        </w:rPr>
        <w:t xml:space="preserve"> és a hatást.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célja az uniós értékek, a demokratikus részvétel, a kulturális sokszínűség és a médiaszabadság megerősítése, valamint az uniós támogatások hatékonyabbá és következetesebbé tétele ezen területeken.</w:t>
      </w:r>
    </w:p>
    <w:p w14:paraId="1E0F4298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>A javaslat több olyan kulcsfontosságú kihívást azonosít, amelyek a reformot indokolják. Ezek közé tartozik a demokratikus bizalom eróziója, a jogállamiság és a civil társadalom elleni támadások, a médiaszektor törékenysége – amelyet a globális platformdominancia, a tulajdonkoncentráció, a dezinformáció és a pénzügyi instabilitás jellemez –, valamint a kulturális és kreatív ágazatok tartós széttagoltsága.</w:t>
      </w:r>
      <w:r w:rsidRPr="00AE00F3">
        <w:rPr>
          <w:sz w:val="24"/>
          <w:szCs w:val="24"/>
          <w:lang w:val="hu-HU" w:eastAsia="en-GB"/>
        </w:rPr>
        <w:br/>
        <w:t>Emellett a javaslat hangsúlyozza a strukturális egyenlőtlenségeket – például a diszkriminációt és a nemi alapú erőszakot – és az alulfinanszírozott egyenlőségi intézkedéseket is. A technológia gyors fejlődése és a mesterséges intelligencia kulturális és médiatermelésre gyakorolt zavaró hatása tovább erősíti az összehangolt uniós válasz szükségességét ezekre a határokon átnyúló kihívásokra.</w:t>
      </w:r>
    </w:p>
    <w:p w14:paraId="4A7A80E8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három fő pillér köré épül:</w:t>
      </w:r>
    </w:p>
    <w:p w14:paraId="58B02D41" w14:textId="77777777" w:rsidR="00AE00F3" w:rsidRPr="00AE00F3" w:rsidRDefault="00AE00F3" w:rsidP="00AE00F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Kreatív Európa – Kultúra</w:t>
      </w:r>
      <w:r w:rsidRPr="00AE00F3">
        <w:rPr>
          <w:sz w:val="24"/>
          <w:szCs w:val="24"/>
          <w:lang w:val="hu-HU" w:eastAsia="en-GB"/>
        </w:rPr>
        <w:t>: a határokon átnyúló kulturális alkotás, mobilitás és együttműködés elősegítése, a kultúrához való hozzáférés szélesítése, valamint Európa kulturális örökségének megőrzése.</w:t>
      </w:r>
    </w:p>
    <w:p w14:paraId="79C502CE" w14:textId="77777777" w:rsidR="00AE00F3" w:rsidRPr="00AE00F3" w:rsidRDefault="00AE00F3" w:rsidP="00AE00F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MEDIA+</w:t>
      </w:r>
      <w:r w:rsidRPr="00AE00F3">
        <w:rPr>
          <w:sz w:val="24"/>
          <w:szCs w:val="24"/>
          <w:lang w:val="hu-HU" w:eastAsia="en-GB"/>
        </w:rPr>
        <w:t>: az európai audiovizuális és videojáték-ipar versenyképességének, innovációjának és sokszínűségének növelése; a médiapluralizmus, az újságírók védelme és a dezinformáció elleni küzdelem támogatása.</w:t>
      </w:r>
    </w:p>
    <w:p w14:paraId="1609A421" w14:textId="77777777" w:rsidR="00AE00F3" w:rsidRPr="00AE00F3" w:rsidRDefault="00AE00F3" w:rsidP="00AE00F3">
      <w:pPr>
        <w:numPr>
          <w:ilvl w:val="0"/>
          <w:numId w:val="38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CERV+ (Demokrácia, Állampolgárság, Egyenlőség, Jogok és Értékek)</w:t>
      </w:r>
      <w:r w:rsidRPr="00AE00F3">
        <w:rPr>
          <w:sz w:val="24"/>
          <w:szCs w:val="24"/>
          <w:lang w:val="hu-HU" w:eastAsia="en-GB"/>
        </w:rPr>
        <w:t>: az alapvető jogok, az egyenlőség és a megkülönböztetésmentesség előmozdítása; a nemi és gyermekek elleni erőszak elleni küzdelem; a demokratikus részvétel és a jogállamiság megerősítése; valamint az állampolgári jogok – például a szabad mozgás és a választójog – védelme.</w:t>
      </w:r>
    </w:p>
    <w:p w14:paraId="0AEA533E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Egy </w:t>
      </w:r>
      <w:r w:rsidRPr="00AE00F3">
        <w:rPr>
          <w:b/>
          <w:bCs/>
          <w:sz w:val="24"/>
          <w:szCs w:val="24"/>
          <w:lang w:val="hu-HU" w:eastAsia="en-GB"/>
        </w:rPr>
        <w:t>átfogó, horizontális pillér</w:t>
      </w:r>
      <w:r w:rsidRPr="00AE00F3">
        <w:rPr>
          <w:sz w:val="24"/>
          <w:szCs w:val="24"/>
          <w:lang w:val="hu-HU" w:eastAsia="en-GB"/>
        </w:rPr>
        <w:t xml:space="preserve"> kapcsolja össze ezeket a területeket, hogy elősegítse a polgári részvételt, az innovációt és a társadalmi ellenálló képességet.</w:t>
      </w:r>
    </w:p>
    <w:p w14:paraId="5A882F6A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Jogilag a javaslat az EUMSZ 19(2), 21(2), 24, 167(5), 168(5) és 173(3) cikkein alapul, és összhangban áll olyan politikai keretekkel, mint az </w:t>
      </w:r>
      <w:r w:rsidRPr="00AE00F3">
        <w:rPr>
          <w:b/>
          <w:bCs/>
          <w:sz w:val="24"/>
          <w:szCs w:val="24"/>
          <w:lang w:val="hu-HU" w:eastAsia="en-GB"/>
        </w:rPr>
        <w:t>Európai Demokrácia Akcióterv</w:t>
      </w:r>
      <w:r w:rsidRPr="00AE00F3">
        <w:rPr>
          <w:sz w:val="24"/>
          <w:szCs w:val="24"/>
          <w:lang w:val="hu-HU" w:eastAsia="en-GB"/>
        </w:rPr>
        <w:t xml:space="preserve">, a </w:t>
      </w:r>
      <w:r w:rsidRPr="00AE00F3">
        <w:rPr>
          <w:b/>
          <w:bCs/>
          <w:sz w:val="24"/>
          <w:szCs w:val="24"/>
          <w:lang w:val="hu-HU" w:eastAsia="en-GB"/>
        </w:rPr>
        <w:t>Médiaszabadságról szóló rendelet</w:t>
      </w:r>
      <w:r w:rsidRPr="00AE00F3">
        <w:rPr>
          <w:sz w:val="24"/>
          <w:szCs w:val="24"/>
          <w:lang w:val="hu-HU" w:eastAsia="en-GB"/>
        </w:rPr>
        <w:t xml:space="preserve">, az </w:t>
      </w:r>
      <w:r w:rsidRPr="00AE00F3">
        <w:rPr>
          <w:b/>
          <w:bCs/>
          <w:sz w:val="24"/>
          <w:szCs w:val="24"/>
          <w:lang w:val="hu-HU" w:eastAsia="en-GB"/>
        </w:rPr>
        <w:t>Audiovizuális Médiaszolgáltatások Irányelve</w:t>
      </w:r>
      <w:r w:rsidRPr="00AE00F3">
        <w:rPr>
          <w:sz w:val="24"/>
          <w:szCs w:val="24"/>
          <w:lang w:val="hu-HU" w:eastAsia="en-GB"/>
        </w:rPr>
        <w:t xml:space="preserve">, az </w:t>
      </w:r>
      <w:r w:rsidRPr="00AE00F3">
        <w:rPr>
          <w:b/>
          <w:bCs/>
          <w:sz w:val="24"/>
          <w:szCs w:val="24"/>
          <w:lang w:val="hu-HU" w:eastAsia="en-GB"/>
        </w:rPr>
        <w:t>Egyenlőség Uniója stratégiák</w:t>
      </w:r>
      <w:r w:rsidRPr="00AE00F3">
        <w:rPr>
          <w:sz w:val="24"/>
          <w:szCs w:val="24"/>
          <w:lang w:val="hu-HU" w:eastAsia="en-GB"/>
        </w:rPr>
        <w:t xml:space="preserve">, a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Culture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Compass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for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Europe</w:t>
      </w:r>
      <w:r w:rsidRPr="00AE00F3">
        <w:rPr>
          <w:sz w:val="24"/>
          <w:szCs w:val="24"/>
          <w:lang w:val="hu-HU" w:eastAsia="en-GB"/>
        </w:rPr>
        <w:t xml:space="preserve">, az </w:t>
      </w:r>
      <w:r w:rsidRPr="00AE00F3">
        <w:rPr>
          <w:b/>
          <w:bCs/>
          <w:sz w:val="24"/>
          <w:szCs w:val="24"/>
          <w:lang w:val="hu-HU" w:eastAsia="en-GB"/>
        </w:rPr>
        <w:t>Új Európai Bauhaus</w:t>
      </w:r>
      <w:r w:rsidRPr="00AE00F3">
        <w:rPr>
          <w:sz w:val="24"/>
          <w:szCs w:val="24"/>
          <w:lang w:val="hu-HU" w:eastAsia="en-GB"/>
        </w:rPr>
        <w:t>, stb.</w:t>
      </w:r>
      <w:r w:rsidRPr="00AE00F3">
        <w:rPr>
          <w:sz w:val="24"/>
          <w:szCs w:val="24"/>
          <w:lang w:val="hu-HU" w:eastAsia="en-GB"/>
        </w:rPr>
        <w:br/>
        <w:t>A javaslat közvetlenül hozzájárul az EU 2024–2029-es stratégiai prioritásaihoz: az emberek támogatásához, a demokrácia védelméhez, a fenntartható jólét előmozdításához és Európa globális szerepének megerősítéséhez.</w:t>
      </w:r>
    </w:p>
    <w:p w14:paraId="358FD0B2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lastRenderedPageBreak/>
        <w:t xml:space="preserve">Az értékelések és konzultációk – több mint 5800 válasz alapján – 80–90%-os támogatottságot mutattak az uniós fellépés folytatása mellett a demokrácia, a jogok és a kultúra területén. A válaszadók ugyanakkor az adminisztratív </w:t>
      </w:r>
      <w:proofErr w:type="spellStart"/>
      <w:r w:rsidRPr="00AE00F3">
        <w:rPr>
          <w:sz w:val="24"/>
          <w:szCs w:val="24"/>
          <w:lang w:val="hu-HU" w:eastAsia="en-GB"/>
        </w:rPr>
        <w:t>terhek</w:t>
      </w:r>
      <w:proofErr w:type="spellEnd"/>
      <w:r w:rsidRPr="00AE00F3">
        <w:rPr>
          <w:sz w:val="24"/>
          <w:szCs w:val="24"/>
          <w:lang w:val="hu-HU" w:eastAsia="en-GB"/>
        </w:rPr>
        <w:t>, a széttagoltság és a programok bonyolultsága kapcsán komoly aggályokat fogalmaztak meg. A Kreatív Európa és a CERV program értékelései megerősítették az uniós hozzáadott értéket, de hangsúlyozták az egyszerűsítés és az összehangolás szükségességét.</w:t>
      </w:r>
    </w:p>
    <w:p w14:paraId="694618AC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 különböző tervezési modellek elemzése után a Bizottság az </w:t>
      </w:r>
      <w:r w:rsidRPr="00AE00F3">
        <w:rPr>
          <w:b/>
          <w:bCs/>
          <w:sz w:val="24"/>
          <w:szCs w:val="24"/>
          <w:lang w:val="hu-HU" w:eastAsia="en-GB"/>
        </w:rPr>
        <w:t>„célalapú összevonás”</w:t>
      </w:r>
      <w:r w:rsidRPr="00AE00F3">
        <w:rPr>
          <w:sz w:val="24"/>
          <w:szCs w:val="24"/>
          <w:lang w:val="hu-HU" w:eastAsia="en-GB"/>
        </w:rPr>
        <w:t xml:space="preserve"> modellt választotta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legmegfelelőbb szerkezeteként. Ez lehetővé teszi az egyszerűsítést és a hatékonyság javítását, miközben megőrzi az egyes pillérek sajátos szakpolitikai fókuszát. Emellett biztosítja a rugalmasságot az új válságokra, technológiai változásokra és politikai prioritásokra való gyors reagáláshoz.</w:t>
      </w:r>
    </w:p>
    <w:p w14:paraId="412D80C9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 </w:t>
      </w:r>
      <w:r w:rsidRPr="00AE00F3">
        <w:rPr>
          <w:b/>
          <w:bCs/>
          <w:sz w:val="24"/>
          <w:szCs w:val="24"/>
          <w:lang w:val="hu-HU" w:eastAsia="en-GB"/>
        </w:rPr>
        <w:t xml:space="preserve">végrehajtási és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nyomonkövetési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keret</w:t>
      </w:r>
      <w:r w:rsidRPr="00AE00F3">
        <w:rPr>
          <w:sz w:val="24"/>
          <w:szCs w:val="24"/>
          <w:lang w:val="hu-HU" w:eastAsia="en-GB"/>
        </w:rPr>
        <w:t xml:space="preserve"> megosztott irányítást irányoz elő az Európai Bizottság és egy Végrehajtó Ügynökség között.</w:t>
      </w:r>
      <w:r w:rsidRPr="00AE00F3">
        <w:rPr>
          <w:sz w:val="24"/>
          <w:szCs w:val="24"/>
          <w:lang w:val="hu-HU" w:eastAsia="en-GB"/>
        </w:rPr>
        <w:br/>
        <w:t xml:space="preserve">A finanszírozás egyszerűsítése érdekében az eszközt </w:t>
      </w:r>
      <w:r w:rsidRPr="00AE00F3">
        <w:rPr>
          <w:b/>
          <w:bCs/>
          <w:sz w:val="24"/>
          <w:szCs w:val="24"/>
          <w:lang w:val="hu-HU" w:eastAsia="en-GB"/>
        </w:rPr>
        <w:t>átalánytámogatások</w:t>
      </w:r>
      <w:r w:rsidRPr="00AE00F3">
        <w:rPr>
          <w:sz w:val="24"/>
          <w:szCs w:val="24"/>
          <w:lang w:val="hu-HU" w:eastAsia="en-GB"/>
        </w:rPr>
        <w:t xml:space="preserve">, </w:t>
      </w:r>
      <w:r w:rsidRPr="00AE00F3">
        <w:rPr>
          <w:b/>
          <w:bCs/>
          <w:sz w:val="24"/>
          <w:szCs w:val="24"/>
          <w:lang w:val="hu-HU" w:eastAsia="en-GB"/>
        </w:rPr>
        <w:t>többéves támogatások</w:t>
      </w:r>
      <w:r w:rsidRPr="00AE00F3">
        <w:rPr>
          <w:sz w:val="24"/>
          <w:szCs w:val="24"/>
          <w:lang w:val="hu-HU" w:eastAsia="en-GB"/>
        </w:rPr>
        <w:t xml:space="preserve"> és </w:t>
      </w:r>
      <w:r w:rsidRPr="00AE00F3">
        <w:rPr>
          <w:b/>
          <w:bCs/>
          <w:sz w:val="24"/>
          <w:szCs w:val="24"/>
          <w:lang w:val="hu-HU" w:eastAsia="en-GB"/>
        </w:rPr>
        <w:t>harmadik feleknek nyújtott támogatások</w:t>
      </w:r>
      <w:r w:rsidRPr="00AE00F3">
        <w:rPr>
          <w:sz w:val="24"/>
          <w:szCs w:val="24"/>
          <w:lang w:val="hu-HU" w:eastAsia="en-GB"/>
        </w:rPr>
        <w:t xml:space="preserve"> fogják jellemezni, különös figyelmet fordítva a </w:t>
      </w:r>
      <w:r w:rsidRPr="00AE00F3">
        <w:rPr>
          <w:b/>
          <w:bCs/>
          <w:sz w:val="24"/>
          <w:szCs w:val="24"/>
          <w:lang w:val="hu-HU" w:eastAsia="en-GB"/>
        </w:rPr>
        <w:t>kkv-kra, alulról szerveződő szervezetekre és első pályázókra</w:t>
      </w:r>
      <w:r w:rsidRPr="00AE00F3">
        <w:rPr>
          <w:sz w:val="24"/>
          <w:szCs w:val="24"/>
          <w:lang w:val="hu-HU" w:eastAsia="en-GB"/>
        </w:rPr>
        <w:t>.</w:t>
      </w:r>
    </w:p>
    <w:p w14:paraId="09B273FE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erőteljes </w:t>
      </w:r>
      <w:r w:rsidRPr="00AE00F3">
        <w:rPr>
          <w:b/>
          <w:bCs/>
          <w:sz w:val="24"/>
          <w:szCs w:val="24"/>
          <w:lang w:val="hu-HU" w:eastAsia="en-GB"/>
        </w:rPr>
        <w:t>alapjogvédelmi dimenziót</w:t>
      </w:r>
      <w:r w:rsidRPr="00AE00F3">
        <w:rPr>
          <w:sz w:val="24"/>
          <w:szCs w:val="24"/>
          <w:lang w:val="hu-HU" w:eastAsia="en-GB"/>
        </w:rPr>
        <w:t xml:space="preserve"> is magában foglal, előmozdítva az EU Alapjogi Chartájában rögzített szabadságokat és értékeket, köztük a </w:t>
      </w:r>
      <w:r w:rsidRPr="00AE00F3">
        <w:rPr>
          <w:b/>
          <w:bCs/>
          <w:sz w:val="24"/>
          <w:szCs w:val="24"/>
          <w:lang w:val="hu-HU" w:eastAsia="en-GB"/>
        </w:rPr>
        <w:t>véleménynyilvánítás szabadságát (11. cikk)</w:t>
      </w:r>
      <w:r w:rsidRPr="00AE00F3">
        <w:rPr>
          <w:sz w:val="24"/>
          <w:szCs w:val="24"/>
          <w:lang w:val="hu-HU" w:eastAsia="en-GB"/>
        </w:rPr>
        <w:t xml:space="preserve">, az </w:t>
      </w:r>
      <w:r w:rsidRPr="00AE00F3">
        <w:rPr>
          <w:b/>
          <w:bCs/>
          <w:sz w:val="24"/>
          <w:szCs w:val="24"/>
          <w:lang w:val="hu-HU" w:eastAsia="en-GB"/>
        </w:rPr>
        <w:t>egyenlőséget (21. cikk)</w:t>
      </w:r>
      <w:r w:rsidRPr="00AE00F3">
        <w:rPr>
          <w:sz w:val="24"/>
          <w:szCs w:val="24"/>
          <w:lang w:val="hu-HU" w:eastAsia="en-GB"/>
        </w:rPr>
        <w:t xml:space="preserve">, a </w:t>
      </w:r>
      <w:r w:rsidRPr="00AE00F3">
        <w:rPr>
          <w:b/>
          <w:bCs/>
          <w:sz w:val="24"/>
          <w:szCs w:val="24"/>
          <w:lang w:val="hu-HU" w:eastAsia="en-GB"/>
        </w:rPr>
        <w:t>kulturális sokszínűséget (22. cikk)</w:t>
      </w:r>
      <w:r w:rsidRPr="00AE00F3">
        <w:rPr>
          <w:sz w:val="24"/>
          <w:szCs w:val="24"/>
          <w:lang w:val="hu-HU" w:eastAsia="en-GB"/>
        </w:rPr>
        <w:t xml:space="preserve"> és a </w:t>
      </w:r>
      <w:r w:rsidRPr="00AE00F3">
        <w:rPr>
          <w:b/>
          <w:bCs/>
          <w:sz w:val="24"/>
          <w:szCs w:val="24"/>
          <w:lang w:val="hu-HU" w:eastAsia="en-GB"/>
        </w:rPr>
        <w:t>megkülönböztetés tilalmát (20. cikk)</w:t>
      </w:r>
      <w:r w:rsidRPr="00AE00F3">
        <w:rPr>
          <w:sz w:val="24"/>
          <w:szCs w:val="24"/>
          <w:lang w:val="hu-HU" w:eastAsia="en-GB"/>
        </w:rPr>
        <w:t>.</w:t>
      </w:r>
      <w:r w:rsidRPr="00AE00F3">
        <w:rPr>
          <w:sz w:val="24"/>
          <w:szCs w:val="24"/>
          <w:lang w:val="hu-HU" w:eastAsia="en-GB"/>
        </w:rPr>
        <w:br/>
        <w:t xml:space="preserve">A várható hatások között szerepelnek a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reziliensebb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demokráciák</w:t>
      </w:r>
      <w:r w:rsidRPr="00AE00F3">
        <w:rPr>
          <w:sz w:val="24"/>
          <w:szCs w:val="24"/>
          <w:lang w:val="hu-HU" w:eastAsia="en-GB"/>
        </w:rPr>
        <w:t xml:space="preserve">, a </w:t>
      </w:r>
      <w:r w:rsidRPr="00AE00F3">
        <w:rPr>
          <w:b/>
          <w:bCs/>
          <w:sz w:val="24"/>
          <w:szCs w:val="24"/>
          <w:lang w:val="hu-HU" w:eastAsia="en-GB"/>
        </w:rPr>
        <w:t>jobban tájékozott polgárok</w:t>
      </w:r>
      <w:r w:rsidRPr="00AE00F3">
        <w:rPr>
          <w:sz w:val="24"/>
          <w:szCs w:val="24"/>
          <w:lang w:val="hu-HU" w:eastAsia="en-GB"/>
        </w:rPr>
        <w:t xml:space="preserve">, az </w:t>
      </w:r>
      <w:r w:rsidRPr="00AE00F3">
        <w:rPr>
          <w:b/>
          <w:bCs/>
          <w:sz w:val="24"/>
          <w:szCs w:val="24"/>
          <w:lang w:val="hu-HU" w:eastAsia="en-GB"/>
        </w:rPr>
        <w:t>erősebb kreatív ökoszisztémák</w:t>
      </w:r>
      <w:r w:rsidRPr="00AE00F3">
        <w:rPr>
          <w:sz w:val="24"/>
          <w:szCs w:val="24"/>
          <w:lang w:val="hu-HU" w:eastAsia="en-GB"/>
        </w:rPr>
        <w:t xml:space="preserve">, a </w:t>
      </w:r>
      <w:r w:rsidRPr="00AE00F3">
        <w:rPr>
          <w:b/>
          <w:bCs/>
          <w:sz w:val="24"/>
          <w:szCs w:val="24"/>
          <w:lang w:val="hu-HU" w:eastAsia="en-GB"/>
        </w:rPr>
        <w:t>nagyobb médiapluralizmus</w:t>
      </w:r>
      <w:r w:rsidRPr="00AE00F3">
        <w:rPr>
          <w:sz w:val="24"/>
          <w:szCs w:val="24"/>
          <w:lang w:val="hu-HU" w:eastAsia="en-GB"/>
        </w:rPr>
        <w:t xml:space="preserve">, a </w:t>
      </w:r>
      <w:r w:rsidRPr="00AE00F3">
        <w:rPr>
          <w:b/>
          <w:bCs/>
          <w:sz w:val="24"/>
          <w:szCs w:val="24"/>
          <w:lang w:val="hu-HU" w:eastAsia="en-GB"/>
        </w:rPr>
        <w:t>mélyebb ágazatközi együttműködés</w:t>
      </w:r>
      <w:r w:rsidRPr="00AE00F3">
        <w:rPr>
          <w:sz w:val="24"/>
          <w:szCs w:val="24"/>
          <w:lang w:val="hu-HU" w:eastAsia="en-GB"/>
        </w:rPr>
        <w:t xml:space="preserve">, valamint az </w:t>
      </w:r>
      <w:r w:rsidRPr="00AE00F3">
        <w:rPr>
          <w:b/>
          <w:bCs/>
          <w:sz w:val="24"/>
          <w:szCs w:val="24"/>
          <w:lang w:val="hu-HU" w:eastAsia="en-GB"/>
        </w:rPr>
        <w:t>európai identitás és kohézió megerősödése</w:t>
      </w:r>
      <w:r w:rsidRPr="00AE00F3">
        <w:rPr>
          <w:sz w:val="24"/>
          <w:szCs w:val="24"/>
          <w:lang w:val="hu-HU" w:eastAsia="en-GB"/>
        </w:rPr>
        <w:t>.</w:t>
      </w:r>
    </w:p>
    <w:p w14:paraId="1E188A01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Pénzügyi szempontból a javaslat a </w:t>
      </w:r>
      <w:r w:rsidRPr="00AE00F3">
        <w:rPr>
          <w:b/>
          <w:bCs/>
          <w:sz w:val="24"/>
          <w:szCs w:val="24"/>
          <w:lang w:val="hu-HU" w:eastAsia="en-GB"/>
        </w:rPr>
        <w:t xml:space="preserve">2028–2034 közötti időszakra egyetlen, éves 2%-os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deflátorral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indexált költségvetési keretet</w:t>
      </w:r>
      <w:r w:rsidRPr="00AE00F3">
        <w:rPr>
          <w:sz w:val="24"/>
          <w:szCs w:val="24"/>
          <w:lang w:val="hu-HU" w:eastAsia="en-GB"/>
        </w:rPr>
        <w:t xml:space="preserve"> vezet be. Ez az egységes pénzügyi keret rugalmas, lehetővé téve a források átcsoportosítását az aktuális szakpolitikai szükségleteknek és prioritásoknak megfelelően.</w:t>
      </w:r>
    </w:p>
    <w:p w14:paraId="2E72FAB7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Összességében az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az EU „puha hatalmi” eszközeinek átalakulását jelenti. A kultúra, a média és a polgári értékek egyesítésével a program célja a széttagoltság leküzdése, Európa versenyképességének növelése és a demokratikus ellenállóképesség erősítése.</w:t>
      </w:r>
      <w:r w:rsidRPr="00AE00F3">
        <w:rPr>
          <w:sz w:val="24"/>
          <w:szCs w:val="24"/>
          <w:lang w:val="hu-HU" w:eastAsia="en-GB"/>
        </w:rPr>
        <w:br/>
        <w:t xml:space="preserve">Az kezdeményezés célja egy </w:t>
      </w:r>
      <w:r w:rsidRPr="00AE00F3">
        <w:rPr>
          <w:b/>
          <w:bCs/>
          <w:sz w:val="24"/>
          <w:szCs w:val="24"/>
          <w:lang w:val="hu-HU" w:eastAsia="en-GB"/>
        </w:rPr>
        <w:t>egyszerűbb, láthatóbb és polgárközpontú</w:t>
      </w:r>
      <w:r w:rsidRPr="00AE00F3">
        <w:rPr>
          <w:sz w:val="24"/>
          <w:szCs w:val="24"/>
          <w:lang w:val="hu-HU" w:eastAsia="en-GB"/>
        </w:rPr>
        <w:t xml:space="preserve"> finanszírozási környezet megteremtése, amely a kultúrát, a jogokat és a részvételt helyezi az </w:t>
      </w:r>
      <w:r w:rsidRPr="00AE00F3">
        <w:rPr>
          <w:b/>
          <w:bCs/>
          <w:sz w:val="24"/>
          <w:szCs w:val="24"/>
          <w:lang w:val="hu-HU" w:eastAsia="en-GB"/>
        </w:rPr>
        <w:t>európai projekt középpontjába</w:t>
      </w:r>
      <w:r w:rsidRPr="00AE00F3">
        <w:rPr>
          <w:sz w:val="24"/>
          <w:szCs w:val="24"/>
          <w:lang w:val="hu-HU" w:eastAsia="en-GB"/>
        </w:rPr>
        <w:t>.</w:t>
      </w:r>
    </w:p>
    <w:p w14:paraId="0C091AB8" w14:textId="463A8DC6" w:rsidR="00AE00F3" w:rsidRPr="00AE00F3" w:rsidRDefault="00AE00F3" w:rsidP="00AE00F3">
      <w:pPr>
        <w:spacing w:line="240" w:lineRule="auto"/>
        <w:jc w:val="left"/>
        <w:rPr>
          <w:sz w:val="24"/>
          <w:szCs w:val="24"/>
          <w:lang w:val="hu-HU" w:eastAsia="en-GB"/>
        </w:rPr>
      </w:pPr>
    </w:p>
    <w:p w14:paraId="5452CF52" w14:textId="53B447FD" w:rsidR="00AE00F3" w:rsidRPr="00AE00F3" w:rsidRDefault="00AE00F3" w:rsidP="00AE00F3">
      <w:pPr>
        <w:spacing w:before="100" w:beforeAutospacing="1" w:after="100" w:afterAutospacing="1" w:line="240" w:lineRule="auto"/>
        <w:ind w:left="360"/>
        <w:jc w:val="left"/>
        <w:outlineLvl w:val="2"/>
        <w:rPr>
          <w:b/>
          <w:bCs/>
          <w:sz w:val="27"/>
          <w:szCs w:val="27"/>
          <w:lang w:val="hu-HU" w:eastAsia="en-GB"/>
        </w:rPr>
      </w:pPr>
      <w:r w:rsidRPr="00AE00F3">
        <w:rPr>
          <w:b/>
          <w:bCs/>
          <w:sz w:val="27"/>
          <w:szCs w:val="27"/>
          <w:lang w:val="hu-HU" w:eastAsia="en-GB"/>
        </w:rPr>
        <w:t>V</w:t>
      </w:r>
      <w:r w:rsidRPr="00AE00F3">
        <w:rPr>
          <w:b/>
          <w:bCs/>
          <w:sz w:val="27"/>
          <w:szCs w:val="27"/>
          <w:lang w:val="hu-HU" w:eastAsia="en-GB"/>
        </w:rPr>
        <w:t>itaindító kérdések</w:t>
      </w:r>
    </w:p>
    <w:p w14:paraId="07E86BC3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Általános irányvonal</w:t>
      </w:r>
    </w:p>
    <w:p w14:paraId="7A7ACBB0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program (a Kreatív Európa és a CERV integrálásával) valóban növeli a koherenciát és a hatékonyságot, vagy fennáll a veszélye annak, hogy elmosódnak az egyes szakpolitikai prioritások (pl. kultúra </w:t>
      </w:r>
      <w:proofErr w:type="spellStart"/>
      <w:r w:rsidRPr="00AE00F3">
        <w:rPr>
          <w:sz w:val="24"/>
          <w:szCs w:val="24"/>
          <w:lang w:val="hu-HU" w:eastAsia="en-GB"/>
        </w:rPr>
        <w:t>vs</w:t>
      </w:r>
      <w:proofErr w:type="spellEnd"/>
      <w:r w:rsidRPr="00AE00F3">
        <w:rPr>
          <w:sz w:val="24"/>
          <w:szCs w:val="24"/>
          <w:lang w:val="hu-HU" w:eastAsia="en-GB"/>
        </w:rPr>
        <w:t>. demokrácia)?</w:t>
      </w:r>
    </w:p>
    <w:p w14:paraId="53E51373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>Hogyan biztosíthatja a Régiók Bizottsága (</w:t>
      </w:r>
      <w:proofErr w:type="spellStart"/>
      <w:r w:rsidRPr="00AE00F3">
        <w:rPr>
          <w:sz w:val="24"/>
          <w:szCs w:val="24"/>
          <w:lang w:val="hu-HU" w:eastAsia="en-GB"/>
        </w:rPr>
        <w:t>CoR</w:t>
      </w:r>
      <w:proofErr w:type="spellEnd"/>
      <w:r w:rsidRPr="00AE00F3">
        <w:rPr>
          <w:sz w:val="24"/>
          <w:szCs w:val="24"/>
          <w:lang w:val="hu-HU" w:eastAsia="en-GB"/>
        </w:rPr>
        <w:t>), hogy a helyi és regionális szereplők sajátos igényei tükröződjenek a program irányításában és finanszírozásában?</w:t>
      </w:r>
    </w:p>
    <w:p w14:paraId="16280E01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lastRenderedPageBreak/>
        <w:t xml:space="preserve">Milyen mértékben tükrözi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a régiók és városok valóságát és prioritásait a kultúra, a polgári részvétel és a médiapluralizmus terén?</w:t>
      </w:r>
    </w:p>
    <w:p w14:paraId="19ADED12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Fel kell-e hívnia a </w:t>
      </w:r>
      <w:proofErr w:type="spellStart"/>
      <w:r w:rsidRPr="00AE00F3">
        <w:rPr>
          <w:sz w:val="24"/>
          <w:szCs w:val="24"/>
          <w:lang w:val="hu-HU" w:eastAsia="en-GB"/>
        </w:rPr>
        <w:t>CoR-nak</w:t>
      </w:r>
      <w:proofErr w:type="spellEnd"/>
      <w:r w:rsidRPr="00AE00F3">
        <w:rPr>
          <w:sz w:val="24"/>
          <w:szCs w:val="24"/>
          <w:lang w:val="hu-HU" w:eastAsia="en-GB"/>
        </w:rPr>
        <w:t xml:space="preserve"> a figyelmet arra, hogy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>-n belül külön alprogramok támogassák a kevésbé fejlett és vidéki régiók részvételét?</w:t>
      </w:r>
    </w:p>
    <w:p w14:paraId="406C8190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Támogatná-e a </w:t>
      </w:r>
      <w:proofErr w:type="spellStart"/>
      <w:r w:rsidRPr="00AE00F3">
        <w:rPr>
          <w:sz w:val="24"/>
          <w:szCs w:val="24"/>
          <w:lang w:val="hu-HU" w:eastAsia="en-GB"/>
        </w:rPr>
        <w:t>CoR</w:t>
      </w:r>
      <w:proofErr w:type="spellEnd"/>
      <w:r w:rsidRPr="00AE00F3">
        <w:rPr>
          <w:sz w:val="24"/>
          <w:szCs w:val="24"/>
          <w:lang w:val="hu-HU" w:eastAsia="en-GB"/>
        </w:rPr>
        <w:t xml:space="preserve"> a </w:t>
      </w:r>
      <w:r w:rsidRPr="00AE00F3">
        <w:rPr>
          <w:b/>
          <w:bCs/>
          <w:sz w:val="24"/>
          <w:szCs w:val="24"/>
          <w:lang w:val="hu-HU" w:eastAsia="en-GB"/>
        </w:rPr>
        <w:t>földrajzi kiegyensúlyozottság</w:t>
      </w:r>
      <w:r w:rsidRPr="00AE00F3">
        <w:rPr>
          <w:sz w:val="24"/>
          <w:szCs w:val="24"/>
          <w:lang w:val="hu-HU" w:eastAsia="en-GB"/>
        </w:rPr>
        <w:t xml:space="preserve"> célját a projektek kiválasztásánál a méltányos részvétel érdekében?</w:t>
      </w:r>
    </w:p>
    <w:p w14:paraId="1DB349BB" w14:textId="77777777" w:rsidR="00AE00F3" w:rsidRPr="00AE00F3" w:rsidRDefault="00AE00F3" w:rsidP="00AE00F3">
      <w:pPr>
        <w:numPr>
          <w:ilvl w:val="0"/>
          <w:numId w:val="39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Kellene-e a programnak előnyben részesítenie az </w:t>
      </w:r>
      <w:r w:rsidRPr="00AE00F3">
        <w:rPr>
          <w:b/>
          <w:bCs/>
          <w:sz w:val="24"/>
          <w:szCs w:val="24"/>
          <w:lang w:val="hu-HU" w:eastAsia="en-GB"/>
        </w:rPr>
        <w:t>uniós tagjelölt országok</w:t>
      </w:r>
      <w:r w:rsidRPr="00AE00F3">
        <w:rPr>
          <w:sz w:val="24"/>
          <w:szCs w:val="24"/>
          <w:lang w:val="hu-HU" w:eastAsia="en-GB"/>
        </w:rPr>
        <w:t xml:space="preserve"> partnereit bevonó projekteket, elősegítve a párbeszédet, a kölcsönös tanulást és az európai értékek iránti közös elkötelezettséget?</w:t>
      </w:r>
    </w:p>
    <w:p w14:paraId="02204B4D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Egyszerűsítés és hozzáférhetőség</w:t>
      </w:r>
    </w:p>
    <w:p w14:paraId="2BF57D93" w14:textId="77777777" w:rsidR="00AE00F3" w:rsidRPr="00AE00F3" w:rsidRDefault="00AE00F3" w:rsidP="00AE00F3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A javaslat célja az egyszerűsítés – vajon az új struktúra valóban csökkenti az adminisztratív </w:t>
      </w:r>
      <w:proofErr w:type="spellStart"/>
      <w:r w:rsidRPr="00AE00F3">
        <w:rPr>
          <w:sz w:val="24"/>
          <w:szCs w:val="24"/>
          <w:lang w:val="hu-HU" w:eastAsia="en-GB"/>
        </w:rPr>
        <w:t>terheket</w:t>
      </w:r>
      <w:proofErr w:type="spellEnd"/>
      <w:r w:rsidRPr="00AE00F3">
        <w:rPr>
          <w:sz w:val="24"/>
          <w:szCs w:val="24"/>
          <w:lang w:val="hu-HU" w:eastAsia="en-GB"/>
        </w:rPr>
        <w:t xml:space="preserve"> a kis szervezetek és helyi önkormányzatok számára?</w:t>
      </w:r>
    </w:p>
    <w:p w14:paraId="03DF3784" w14:textId="77777777" w:rsidR="00AE00F3" w:rsidRPr="00AE00F3" w:rsidRDefault="00AE00F3" w:rsidP="00AE00F3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Milyen garanciák szükségesek ahhoz, hogy a kisebb települések, helyi kulturális és kreatív szektorok (CCS) és kulturális szereplők hatékonyan hozzáférjenek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forrásaihoz?</w:t>
      </w:r>
    </w:p>
    <w:p w14:paraId="25617588" w14:textId="77777777" w:rsidR="00AE00F3" w:rsidRPr="00AE00F3" w:rsidRDefault="00AE00F3" w:rsidP="00AE00F3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Kellene-e a </w:t>
      </w:r>
      <w:proofErr w:type="spellStart"/>
      <w:r w:rsidRPr="00AE00F3">
        <w:rPr>
          <w:sz w:val="24"/>
          <w:szCs w:val="24"/>
          <w:lang w:val="hu-HU" w:eastAsia="en-GB"/>
        </w:rPr>
        <w:t>CoR-nak</w:t>
      </w:r>
      <w:proofErr w:type="spellEnd"/>
      <w:r w:rsidRPr="00AE00F3">
        <w:rPr>
          <w:sz w:val="24"/>
          <w:szCs w:val="24"/>
          <w:lang w:val="hu-HU" w:eastAsia="en-GB"/>
        </w:rPr>
        <w:t xml:space="preserve"> területi allokációt javasolnia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>-ban, hogy a helyi és regionális szereplők ne szoruljanak háttérbe a nagyszabású projektek mellett?</w:t>
      </w:r>
    </w:p>
    <w:p w14:paraId="26E6AD30" w14:textId="77777777" w:rsidR="00AE00F3" w:rsidRPr="00AE00F3" w:rsidRDefault="00AE00F3" w:rsidP="00AE00F3">
      <w:pPr>
        <w:numPr>
          <w:ilvl w:val="0"/>
          <w:numId w:val="40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Előnyben kellene-e részesíteni azokat a projekteket, amelyek </w:t>
      </w:r>
      <w:r w:rsidRPr="00AE00F3">
        <w:rPr>
          <w:b/>
          <w:bCs/>
          <w:sz w:val="24"/>
          <w:szCs w:val="24"/>
          <w:lang w:val="hu-HU" w:eastAsia="en-GB"/>
        </w:rPr>
        <w:t>környezeti fenntarthatóságot és energiahatékonyságot</w:t>
      </w:r>
      <w:r w:rsidRPr="00AE00F3">
        <w:rPr>
          <w:sz w:val="24"/>
          <w:szCs w:val="24"/>
          <w:lang w:val="hu-HU" w:eastAsia="en-GB"/>
        </w:rPr>
        <w:t xml:space="preserve"> építenek be tervezésükbe és végrehajtásukba? Ha igen, szükség van-e célzott </w:t>
      </w:r>
      <w:r w:rsidRPr="00AE00F3">
        <w:rPr>
          <w:b/>
          <w:bCs/>
          <w:sz w:val="24"/>
          <w:szCs w:val="24"/>
          <w:lang w:val="hu-HU" w:eastAsia="en-GB"/>
        </w:rPr>
        <w:t>felkészítő akciókra, kapacitásépítésre és jó gyakorlatok megosztására</w:t>
      </w:r>
      <w:r w:rsidRPr="00AE00F3">
        <w:rPr>
          <w:sz w:val="24"/>
          <w:szCs w:val="24"/>
          <w:lang w:val="hu-HU" w:eastAsia="en-GB"/>
        </w:rPr>
        <w:t>, amelyek segítik a pályázókat a környezettudatos projektmenedzsment szabványok alkalmazásában?</w:t>
      </w:r>
    </w:p>
    <w:p w14:paraId="7A8EC88D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>Kreatív Európa (Kultúra) / MEDIA+ / CERV+ pillérek</w:t>
      </w:r>
    </w:p>
    <w:p w14:paraId="52B0B951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>Milyen intézkedéseket kellene beépíteni a területi (városi, vidéki, távoli, legkülső régiók közötti) részvétel egyensúlyának biztosítására?</w:t>
      </w:r>
    </w:p>
    <w:p w14:paraId="60C22813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lehetne előmozdítani a regionális és </w:t>
      </w:r>
      <w:proofErr w:type="spellStart"/>
      <w:r w:rsidRPr="00AE00F3">
        <w:rPr>
          <w:sz w:val="24"/>
          <w:szCs w:val="24"/>
          <w:lang w:val="hu-HU" w:eastAsia="en-GB"/>
        </w:rPr>
        <w:t>interregionális</w:t>
      </w:r>
      <w:proofErr w:type="spellEnd"/>
      <w:r w:rsidRPr="00AE00F3">
        <w:rPr>
          <w:sz w:val="24"/>
          <w:szCs w:val="24"/>
          <w:lang w:val="hu-HU" w:eastAsia="en-GB"/>
        </w:rPr>
        <w:t xml:space="preserve"> </w:t>
      </w:r>
      <w:proofErr w:type="spellStart"/>
      <w:r w:rsidRPr="00AE00F3">
        <w:rPr>
          <w:sz w:val="24"/>
          <w:szCs w:val="24"/>
          <w:lang w:val="hu-HU" w:eastAsia="en-GB"/>
        </w:rPr>
        <w:t>hálózatokat</w:t>
      </w:r>
      <w:proofErr w:type="spellEnd"/>
      <w:r w:rsidRPr="00AE00F3">
        <w:rPr>
          <w:sz w:val="24"/>
          <w:szCs w:val="24"/>
          <w:lang w:val="hu-HU" w:eastAsia="en-GB"/>
        </w:rPr>
        <w:t xml:space="preserve"> és mobilitási programokat?</w:t>
      </w:r>
    </w:p>
    <w:p w14:paraId="13883DF7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biztosíthatja az MFF és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a </w:t>
      </w:r>
      <w:r w:rsidRPr="00AE00F3">
        <w:rPr>
          <w:b/>
          <w:bCs/>
          <w:sz w:val="24"/>
          <w:szCs w:val="24"/>
          <w:lang w:val="hu-HU" w:eastAsia="en-GB"/>
        </w:rPr>
        <w:t>helyi ökoszisztémák hosszú távú, stabil finanszírozását</w:t>
      </w:r>
      <w:r w:rsidRPr="00AE00F3">
        <w:rPr>
          <w:sz w:val="24"/>
          <w:szCs w:val="24"/>
          <w:lang w:val="hu-HU" w:eastAsia="en-GB"/>
        </w:rPr>
        <w:t>, beleértve a kis kreatív iparágakat, örökségvédelmi intézményeket és független médiát?</w:t>
      </w:r>
    </w:p>
    <w:p w14:paraId="6CBDF722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támogathatja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a </w:t>
      </w:r>
      <w:r w:rsidRPr="00AE00F3">
        <w:rPr>
          <w:b/>
          <w:bCs/>
          <w:sz w:val="24"/>
          <w:szCs w:val="24"/>
          <w:lang w:val="hu-HU" w:eastAsia="en-GB"/>
        </w:rPr>
        <w:t>helyi demokratikus innovációkat</w:t>
      </w:r>
      <w:r w:rsidRPr="00AE00F3">
        <w:rPr>
          <w:sz w:val="24"/>
          <w:szCs w:val="24"/>
          <w:lang w:val="hu-HU" w:eastAsia="en-GB"/>
        </w:rPr>
        <w:t xml:space="preserve"> (pl. polgári gyűlések, ifjúsági tanácsok)?</w:t>
      </w:r>
    </w:p>
    <w:p w14:paraId="4EBEBB5A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biztosítható a </w:t>
      </w:r>
      <w:r w:rsidRPr="00AE00F3">
        <w:rPr>
          <w:b/>
          <w:bCs/>
          <w:sz w:val="24"/>
          <w:szCs w:val="24"/>
          <w:lang w:val="hu-HU" w:eastAsia="en-GB"/>
        </w:rPr>
        <w:t>demokráciát és alapvető jogokat védő alulról jövő szervezetek</w:t>
      </w:r>
      <w:r w:rsidRPr="00AE00F3">
        <w:rPr>
          <w:sz w:val="24"/>
          <w:szCs w:val="24"/>
          <w:lang w:val="hu-HU" w:eastAsia="en-GB"/>
        </w:rPr>
        <w:t xml:space="preserve"> hosszú távú támogatása helyi szinten?</w:t>
      </w:r>
    </w:p>
    <w:p w14:paraId="06264A09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járulhatnak hozzá a régiók a </w:t>
      </w:r>
      <w:r w:rsidRPr="00AE00F3">
        <w:rPr>
          <w:b/>
          <w:bCs/>
          <w:sz w:val="24"/>
          <w:szCs w:val="24"/>
          <w:lang w:val="hu-HU" w:eastAsia="en-GB"/>
        </w:rPr>
        <w:t>diszkrimináció, a nemi alapú erőszak és az egyenlőtlenségek elleni küzdelemhez</w:t>
      </w:r>
      <w:r w:rsidRPr="00AE00F3">
        <w:rPr>
          <w:sz w:val="24"/>
          <w:szCs w:val="24"/>
          <w:lang w:val="hu-HU" w:eastAsia="en-GB"/>
        </w:rPr>
        <w:t xml:space="preserve">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projektjein keresztül?</w:t>
      </w:r>
    </w:p>
    <w:p w14:paraId="05F2E2B0" w14:textId="77777777" w:rsidR="00AE00F3" w:rsidRPr="00AE00F3" w:rsidRDefault="00AE00F3" w:rsidP="00AE00F3">
      <w:pPr>
        <w:numPr>
          <w:ilvl w:val="0"/>
          <w:numId w:val="41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Hogyan támogathatja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 a </w:t>
      </w:r>
      <w:r w:rsidRPr="00AE00F3">
        <w:rPr>
          <w:b/>
          <w:bCs/>
          <w:sz w:val="24"/>
          <w:szCs w:val="24"/>
          <w:lang w:val="hu-HU" w:eastAsia="en-GB"/>
        </w:rPr>
        <w:t>helyi és regionális médiaökoszisztémákat</w:t>
      </w:r>
      <w:r w:rsidRPr="00AE00F3">
        <w:rPr>
          <w:sz w:val="24"/>
          <w:szCs w:val="24"/>
          <w:lang w:val="hu-HU" w:eastAsia="en-GB"/>
        </w:rPr>
        <w:t>, különösen a független újságírást és a közösségi médiát?</w:t>
      </w:r>
    </w:p>
    <w:p w14:paraId="51EF1BE1" w14:textId="77777777" w:rsidR="00AE00F3" w:rsidRPr="00AE00F3" w:rsidRDefault="00AE00F3" w:rsidP="00AE00F3">
      <w:p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b/>
          <w:bCs/>
          <w:sz w:val="24"/>
          <w:szCs w:val="24"/>
          <w:lang w:val="hu-HU" w:eastAsia="en-GB"/>
        </w:rPr>
        <w:t xml:space="preserve">Az </w:t>
      </w:r>
      <w:proofErr w:type="spellStart"/>
      <w:r w:rsidRPr="00AE00F3">
        <w:rPr>
          <w:b/>
          <w:bCs/>
          <w:sz w:val="24"/>
          <w:szCs w:val="24"/>
          <w:lang w:val="hu-HU" w:eastAsia="en-GB"/>
        </w:rPr>
        <w:t>AgoraEU</w:t>
      </w:r>
      <w:proofErr w:type="spellEnd"/>
      <w:r w:rsidRPr="00AE00F3">
        <w:rPr>
          <w:b/>
          <w:bCs/>
          <w:sz w:val="24"/>
          <w:szCs w:val="24"/>
          <w:lang w:val="hu-HU" w:eastAsia="en-GB"/>
        </w:rPr>
        <w:t xml:space="preserve"> pozicionálása a 2028–2034-es többéves pénzügyi keretben (MFF)</w:t>
      </w:r>
    </w:p>
    <w:p w14:paraId="5D0D6B71" w14:textId="77777777" w:rsidR="00AE00F3" w:rsidRPr="00AE00F3" w:rsidRDefault="00AE00F3" w:rsidP="00AE00F3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>Fennáll-e annak a veszélye, hogy az egységes program (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>) központosítja a finanszírozást uniós szinten?</w:t>
      </w:r>
    </w:p>
    <w:p w14:paraId="66DFACAF" w14:textId="77777777" w:rsidR="00AE00F3" w:rsidRPr="00AE00F3" w:rsidRDefault="00AE00F3" w:rsidP="00AE00F3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>Hogyan biztosíthatók az MFF egyszerűsítési céljai mellett a valódi hozzáférési lehetőségek a kis önkormányzatok és kulturális szereplők számára?</w:t>
      </w:r>
    </w:p>
    <w:p w14:paraId="2DF09F39" w14:textId="77777777" w:rsidR="00AE00F3" w:rsidRPr="00AE00F3" w:rsidRDefault="00AE00F3" w:rsidP="00AE00F3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lastRenderedPageBreak/>
        <w:t xml:space="preserve">Hogyan segítheti elő a </w:t>
      </w:r>
      <w:proofErr w:type="spellStart"/>
      <w:r w:rsidRPr="00AE00F3">
        <w:rPr>
          <w:sz w:val="24"/>
          <w:szCs w:val="24"/>
          <w:lang w:val="hu-HU" w:eastAsia="en-GB"/>
        </w:rPr>
        <w:t>CoR</w:t>
      </w:r>
      <w:proofErr w:type="spellEnd"/>
      <w:r w:rsidRPr="00AE00F3">
        <w:rPr>
          <w:sz w:val="24"/>
          <w:szCs w:val="24"/>
          <w:lang w:val="hu-HU" w:eastAsia="en-GB"/>
        </w:rPr>
        <w:t xml:space="preserve">, hogy az új MFF egyszerűsítési és rugalmassági céljai </w:t>
      </w:r>
      <w:r w:rsidRPr="00AE00F3">
        <w:rPr>
          <w:b/>
          <w:bCs/>
          <w:sz w:val="24"/>
          <w:szCs w:val="24"/>
          <w:lang w:val="hu-HU" w:eastAsia="en-GB"/>
        </w:rPr>
        <w:t>valós, hozzáférhető eszközökké</w:t>
      </w:r>
      <w:r w:rsidRPr="00AE00F3">
        <w:rPr>
          <w:sz w:val="24"/>
          <w:szCs w:val="24"/>
          <w:lang w:val="hu-HU" w:eastAsia="en-GB"/>
        </w:rPr>
        <w:t xml:space="preserve"> váljanak a helyi és regionális szereplők számára?</w:t>
      </w:r>
    </w:p>
    <w:p w14:paraId="03192BE5" w14:textId="77777777" w:rsidR="00AE00F3" w:rsidRPr="00AE00F3" w:rsidRDefault="00AE00F3" w:rsidP="00AE00F3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sz w:val="24"/>
          <w:szCs w:val="24"/>
          <w:lang w:val="hu-HU" w:eastAsia="en-GB"/>
        </w:rPr>
      </w:pPr>
      <w:r w:rsidRPr="00AE00F3">
        <w:rPr>
          <w:sz w:val="24"/>
          <w:szCs w:val="24"/>
          <w:lang w:val="hu-HU" w:eastAsia="en-GB"/>
        </w:rPr>
        <w:t xml:space="preserve">Be kellene-e vezetni az </w:t>
      </w:r>
      <w:proofErr w:type="spellStart"/>
      <w:r w:rsidRPr="00AE00F3">
        <w:rPr>
          <w:sz w:val="24"/>
          <w:szCs w:val="24"/>
          <w:lang w:val="hu-HU" w:eastAsia="en-GB"/>
        </w:rPr>
        <w:t>AgoraEU</w:t>
      </w:r>
      <w:proofErr w:type="spellEnd"/>
      <w:r w:rsidRPr="00AE00F3">
        <w:rPr>
          <w:sz w:val="24"/>
          <w:szCs w:val="24"/>
          <w:lang w:val="hu-HU" w:eastAsia="en-GB"/>
        </w:rPr>
        <w:t xml:space="preserve">-ban </w:t>
      </w:r>
      <w:r w:rsidRPr="00AE00F3">
        <w:rPr>
          <w:b/>
          <w:bCs/>
          <w:sz w:val="24"/>
          <w:szCs w:val="24"/>
          <w:lang w:val="hu-HU" w:eastAsia="en-GB"/>
        </w:rPr>
        <w:t>földrajzi egyensúlyi mechanizmusokat</w:t>
      </w:r>
      <w:r w:rsidRPr="00AE00F3">
        <w:rPr>
          <w:sz w:val="24"/>
          <w:szCs w:val="24"/>
          <w:lang w:val="hu-HU" w:eastAsia="en-GB"/>
        </w:rPr>
        <w:t>, hogy elkerüljék a források koncentrálódását bizonyos tagállamokban vagy fővárosokban, ahogyan az a korábbi Kreatív Európa ciklusokban történt?</w:t>
      </w:r>
    </w:p>
    <w:p w14:paraId="35A6D024" w14:textId="2AEAC06F" w:rsidR="00C1694E" w:rsidRPr="00C1694E" w:rsidRDefault="00AF4DA4" w:rsidP="000235F1">
      <w:pPr>
        <w:jc w:val="center"/>
        <w:rPr>
          <w:lang w:val="en-GB"/>
        </w:rPr>
      </w:pPr>
      <w:r>
        <w:rPr>
          <w:lang w:val="fr-BE"/>
        </w:rPr>
        <w:t>_________________________________________</w:t>
      </w:r>
    </w:p>
    <w:sectPr w:rsidR="00C1694E" w:rsidRPr="00C1694E" w:rsidSect="00C1694E">
      <w:footerReference w:type="default" r:id="rId9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783C" w14:textId="77777777" w:rsidR="007B36DC" w:rsidRDefault="007B36DC" w:rsidP="00C1694E">
      <w:pPr>
        <w:spacing w:line="240" w:lineRule="auto"/>
      </w:pPr>
      <w:r>
        <w:separator/>
      </w:r>
    </w:p>
  </w:endnote>
  <w:endnote w:type="continuationSeparator" w:id="0">
    <w:p w14:paraId="5A533ADE" w14:textId="77777777" w:rsidR="007B36DC" w:rsidRDefault="007B36DC" w:rsidP="00C16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828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6D96C" w14:textId="18F10FB5" w:rsidR="00C1694E" w:rsidRDefault="00C1694E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AE015" w14:textId="77777777" w:rsidR="00C1694E" w:rsidRDefault="00C169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0B5C" w14:textId="77777777" w:rsidR="007B36DC" w:rsidRDefault="007B36DC" w:rsidP="00C1694E">
      <w:pPr>
        <w:spacing w:line="240" w:lineRule="auto"/>
      </w:pPr>
      <w:r>
        <w:separator/>
      </w:r>
    </w:p>
  </w:footnote>
  <w:footnote w:type="continuationSeparator" w:id="0">
    <w:p w14:paraId="48C11148" w14:textId="77777777" w:rsidR="007B36DC" w:rsidRDefault="007B36DC" w:rsidP="00C16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Cmsor1"/>
      <w:lvlText w:val="%1."/>
      <w:legacy w:legacy="1" w:legacySpace="0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decimal"/>
      <w:pStyle w:val="Cmsor4"/>
      <w:lvlText w:val="%1.%2.%3.%4"/>
      <w:legacy w:legacy="1" w:legacySpace="144" w:legacyIndent="0"/>
      <w:lvlJc w:val="left"/>
    </w:lvl>
    <w:lvl w:ilvl="4">
      <w:start w:val="1"/>
      <w:numFmt w:val="decimal"/>
      <w:pStyle w:val="Cmsor5"/>
      <w:lvlText w:val="%1.%2.%3.%4.%5"/>
      <w:legacy w:legacy="1" w:legacySpace="144" w:legacyIndent="0"/>
      <w:lvlJc w:val="left"/>
    </w:lvl>
    <w:lvl w:ilvl="5">
      <w:start w:val="1"/>
      <w:numFmt w:val="decimal"/>
      <w:pStyle w:val="Cmsor6"/>
      <w:lvlText w:val="%1.%2.%3.%4.%5.%6"/>
      <w:legacy w:legacy="1" w:legacySpace="144" w:legacyIndent="0"/>
      <w:lvlJc w:val="left"/>
    </w:lvl>
    <w:lvl w:ilvl="6">
      <w:start w:val="1"/>
      <w:numFmt w:val="decimal"/>
      <w:pStyle w:val="Cmsor7"/>
      <w:lvlText w:val="%1.%2.%3.%4.%5.%6.%7"/>
      <w:legacy w:legacy="1" w:legacySpace="144" w:legacyIndent="0"/>
      <w:lvlJc w:val="left"/>
    </w:lvl>
    <w:lvl w:ilvl="7">
      <w:start w:val="1"/>
      <w:numFmt w:val="decimal"/>
      <w:pStyle w:val="Cmsor8"/>
      <w:lvlText w:val="%1.%2.%3.%4.%5.%6.%7.%8"/>
      <w:legacy w:legacy="1" w:legacySpace="144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E92FCE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73D27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B5363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52105"/>
    <w:multiLevelType w:val="multilevel"/>
    <w:tmpl w:val="0C6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E5DFD"/>
    <w:multiLevelType w:val="multilevel"/>
    <w:tmpl w:val="F01E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EA2FEE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6106D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2C4BB6"/>
    <w:multiLevelType w:val="multilevel"/>
    <w:tmpl w:val="92F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A5A0E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572FF"/>
    <w:multiLevelType w:val="multilevel"/>
    <w:tmpl w:val="E016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F4E13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B6A95"/>
    <w:multiLevelType w:val="multilevel"/>
    <w:tmpl w:val="3D8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06675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654499"/>
    <w:multiLevelType w:val="multilevel"/>
    <w:tmpl w:val="B2D4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75F52"/>
    <w:multiLevelType w:val="multilevel"/>
    <w:tmpl w:val="176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A11C1B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81934"/>
    <w:multiLevelType w:val="multilevel"/>
    <w:tmpl w:val="3BEA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70030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C106F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93E6C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E3F6C"/>
    <w:multiLevelType w:val="multilevel"/>
    <w:tmpl w:val="91B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D78C2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6239B"/>
    <w:multiLevelType w:val="multilevel"/>
    <w:tmpl w:val="3A6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72B0A"/>
    <w:multiLevelType w:val="multilevel"/>
    <w:tmpl w:val="C3EA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52E43"/>
    <w:multiLevelType w:val="multilevel"/>
    <w:tmpl w:val="E50E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22016"/>
    <w:multiLevelType w:val="multilevel"/>
    <w:tmpl w:val="4C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42E27"/>
    <w:multiLevelType w:val="multilevel"/>
    <w:tmpl w:val="A3D0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676704"/>
    <w:multiLevelType w:val="multilevel"/>
    <w:tmpl w:val="FEC6BE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30D2D"/>
    <w:multiLevelType w:val="multilevel"/>
    <w:tmpl w:val="33801D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259A4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B1128"/>
    <w:multiLevelType w:val="multilevel"/>
    <w:tmpl w:val="9B58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E2CD6"/>
    <w:multiLevelType w:val="multilevel"/>
    <w:tmpl w:val="7D3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9164F"/>
    <w:multiLevelType w:val="multilevel"/>
    <w:tmpl w:val="13E2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8D6F89"/>
    <w:multiLevelType w:val="multilevel"/>
    <w:tmpl w:val="7450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E3ED5"/>
    <w:multiLevelType w:val="multilevel"/>
    <w:tmpl w:val="66008D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EC6295"/>
    <w:multiLevelType w:val="multilevel"/>
    <w:tmpl w:val="6CB4A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53320"/>
    <w:multiLevelType w:val="multilevel"/>
    <w:tmpl w:val="01D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B4DD0"/>
    <w:multiLevelType w:val="multilevel"/>
    <w:tmpl w:val="C9B6DA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13B9C"/>
    <w:multiLevelType w:val="multilevel"/>
    <w:tmpl w:val="FD8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0350E"/>
    <w:multiLevelType w:val="multilevel"/>
    <w:tmpl w:val="33E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B71B4"/>
    <w:multiLevelType w:val="multilevel"/>
    <w:tmpl w:val="B46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290091">
    <w:abstractNumId w:val="0"/>
  </w:num>
  <w:num w:numId="2" w16cid:durableId="1917590738">
    <w:abstractNumId w:val="5"/>
  </w:num>
  <w:num w:numId="3" w16cid:durableId="774911149">
    <w:abstractNumId w:val="28"/>
  </w:num>
  <w:num w:numId="4" w16cid:durableId="2019500994">
    <w:abstractNumId w:val="2"/>
  </w:num>
  <w:num w:numId="5" w16cid:durableId="1373962466">
    <w:abstractNumId w:val="6"/>
  </w:num>
  <w:num w:numId="6" w16cid:durableId="110320751">
    <w:abstractNumId w:val="11"/>
  </w:num>
  <w:num w:numId="7" w16cid:durableId="277495047">
    <w:abstractNumId w:val="29"/>
  </w:num>
  <w:num w:numId="8" w16cid:durableId="1026442012">
    <w:abstractNumId w:val="35"/>
  </w:num>
  <w:num w:numId="9" w16cid:durableId="254480012">
    <w:abstractNumId w:val="27"/>
  </w:num>
  <w:num w:numId="10" w16cid:durableId="351685518">
    <w:abstractNumId w:val="23"/>
  </w:num>
  <w:num w:numId="11" w16cid:durableId="621615221">
    <w:abstractNumId w:val="26"/>
  </w:num>
  <w:num w:numId="12" w16cid:durableId="760489053">
    <w:abstractNumId w:val="41"/>
  </w:num>
  <w:num w:numId="13" w16cid:durableId="1197697000">
    <w:abstractNumId w:val="17"/>
  </w:num>
  <w:num w:numId="14" w16cid:durableId="238714537">
    <w:abstractNumId w:val="8"/>
  </w:num>
  <w:num w:numId="15" w16cid:durableId="822350652">
    <w:abstractNumId w:val="31"/>
  </w:num>
  <w:num w:numId="16" w16cid:durableId="1622371108">
    <w:abstractNumId w:val="12"/>
  </w:num>
  <w:num w:numId="17" w16cid:durableId="1519927422">
    <w:abstractNumId w:val="4"/>
  </w:num>
  <w:num w:numId="18" w16cid:durableId="1452625439">
    <w:abstractNumId w:val="34"/>
  </w:num>
  <w:num w:numId="19" w16cid:durableId="1276059461">
    <w:abstractNumId w:val="37"/>
  </w:num>
  <w:num w:numId="20" w16cid:durableId="844130067">
    <w:abstractNumId w:val="21"/>
  </w:num>
  <w:num w:numId="21" w16cid:durableId="56900931">
    <w:abstractNumId w:val="10"/>
  </w:num>
  <w:num w:numId="22" w16cid:durableId="311255606">
    <w:abstractNumId w:val="39"/>
  </w:num>
  <w:num w:numId="23" w16cid:durableId="1819884918">
    <w:abstractNumId w:val="15"/>
  </w:num>
  <w:num w:numId="24" w16cid:durableId="1927182689">
    <w:abstractNumId w:val="14"/>
  </w:num>
  <w:num w:numId="25" w16cid:durableId="572932113">
    <w:abstractNumId w:val="36"/>
  </w:num>
  <w:num w:numId="26" w16cid:durableId="202595320">
    <w:abstractNumId w:val="13"/>
  </w:num>
  <w:num w:numId="27" w16cid:durableId="400838206">
    <w:abstractNumId w:val="3"/>
  </w:num>
  <w:num w:numId="28" w16cid:durableId="1295981814">
    <w:abstractNumId w:val="30"/>
  </w:num>
  <w:num w:numId="29" w16cid:durableId="1777559382">
    <w:abstractNumId w:val="18"/>
  </w:num>
  <w:num w:numId="30" w16cid:durableId="964503629">
    <w:abstractNumId w:val="7"/>
  </w:num>
  <w:num w:numId="31" w16cid:durableId="269050894">
    <w:abstractNumId w:val="22"/>
  </w:num>
  <w:num w:numId="32" w16cid:durableId="2143694091">
    <w:abstractNumId w:val="16"/>
  </w:num>
  <w:num w:numId="33" w16cid:durableId="385378807">
    <w:abstractNumId w:val="19"/>
  </w:num>
  <w:num w:numId="34" w16cid:durableId="1374844568">
    <w:abstractNumId w:val="38"/>
  </w:num>
  <w:num w:numId="35" w16cid:durableId="1019892525">
    <w:abstractNumId w:val="20"/>
  </w:num>
  <w:num w:numId="36" w16cid:durableId="160045828">
    <w:abstractNumId w:val="9"/>
  </w:num>
  <w:num w:numId="37" w16cid:durableId="1754281156">
    <w:abstractNumId w:val="1"/>
  </w:num>
  <w:num w:numId="38" w16cid:durableId="1770007347">
    <w:abstractNumId w:val="33"/>
  </w:num>
  <w:num w:numId="39" w16cid:durableId="1309750427">
    <w:abstractNumId w:val="32"/>
  </w:num>
  <w:num w:numId="40" w16cid:durableId="537163163">
    <w:abstractNumId w:val="24"/>
  </w:num>
  <w:num w:numId="41" w16cid:durableId="862746060">
    <w:abstractNumId w:val="40"/>
  </w:num>
  <w:num w:numId="42" w16cid:durableId="16046510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E"/>
    <w:rsid w:val="00003A31"/>
    <w:rsid w:val="00003D56"/>
    <w:rsid w:val="00016BA5"/>
    <w:rsid w:val="000235F1"/>
    <w:rsid w:val="00067ACB"/>
    <w:rsid w:val="000A6B72"/>
    <w:rsid w:val="001232F7"/>
    <w:rsid w:val="00145E07"/>
    <w:rsid w:val="00150077"/>
    <w:rsid w:val="00160DDB"/>
    <w:rsid w:val="00166ECD"/>
    <w:rsid w:val="0017492D"/>
    <w:rsid w:val="001F4D85"/>
    <w:rsid w:val="002136FA"/>
    <w:rsid w:val="002A79AE"/>
    <w:rsid w:val="002B3172"/>
    <w:rsid w:val="002C2744"/>
    <w:rsid w:val="002C3EBA"/>
    <w:rsid w:val="00303273"/>
    <w:rsid w:val="003618F7"/>
    <w:rsid w:val="00390605"/>
    <w:rsid w:val="003B72F9"/>
    <w:rsid w:val="003D5533"/>
    <w:rsid w:val="003F41A5"/>
    <w:rsid w:val="003F5D44"/>
    <w:rsid w:val="00482755"/>
    <w:rsid w:val="00491FC3"/>
    <w:rsid w:val="00492946"/>
    <w:rsid w:val="005530BE"/>
    <w:rsid w:val="00586022"/>
    <w:rsid w:val="006158C3"/>
    <w:rsid w:val="006169F3"/>
    <w:rsid w:val="0062199A"/>
    <w:rsid w:val="0063634E"/>
    <w:rsid w:val="00663AB9"/>
    <w:rsid w:val="006B5DBD"/>
    <w:rsid w:val="00702A0A"/>
    <w:rsid w:val="00710463"/>
    <w:rsid w:val="00753099"/>
    <w:rsid w:val="00756181"/>
    <w:rsid w:val="007814B8"/>
    <w:rsid w:val="00782A49"/>
    <w:rsid w:val="007A2128"/>
    <w:rsid w:val="007A51CE"/>
    <w:rsid w:val="007B36DC"/>
    <w:rsid w:val="007E79E0"/>
    <w:rsid w:val="007F7552"/>
    <w:rsid w:val="00812888"/>
    <w:rsid w:val="00843DB7"/>
    <w:rsid w:val="00853342"/>
    <w:rsid w:val="008D299E"/>
    <w:rsid w:val="008E31C9"/>
    <w:rsid w:val="008F5F96"/>
    <w:rsid w:val="00964FBB"/>
    <w:rsid w:val="009C26BB"/>
    <w:rsid w:val="00A816C8"/>
    <w:rsid w:val="00A91623"/>
    <w:rsid w:val="00AA15B7"/>
    <w:rsid w:val="00AB44F8"/>
    <w:rsid w:val="00AD2034"/>
    <w:rsid w:val="00AE00F3"/>
    <w:rsid w:val="00AF4DA4"/>
    <w:rsid w:val="00B00A88"/>
    <w:rsid w:val="00B167E0"/>
    <w:rsid w:val="00B21BDE"/>
    <w:rsid w:val="00B5385F"/>
    <w:rsid w:val="00B927CA"/>
    <w:rsid w:val="00BE1399"/>
    <w:rsid w:val="00C1694E"/>
    <w:rsid w:val="00C328D7"/>
    <w:rsid w:val="00C413DF"/>
    <w:rsid w:val="00C50F67"/>
    <w:rsid w:val="00C8405D"/>
    <w:rsid w:val="00CD6CB8"/>
    <w:rsid w:val="00CE0F74"/>
    <w:rsid w:val="00D010A4"/>
    <w:rsid w:val="00D301A6"/>
    <w:rsid w:val="00D53E69"/>
    <w:rsid w:val="00D663B2"/>
    <w:rsid w:val="00D6799F"/>
    <w:rsid w:val="00DB3EDB"/>
    <w:rsid w:val="00DB549D"/>
    <w:rsid w:val="00DE02E8"/>
    <w:rsid w:val="00DF1986"/>
    <w:rsid w:val="00E648C1"/>
    <w:rsid w:val="00E66672"/>
    <w:rsid w:val="00E76677"/>
    <w:rsid w:val="00E87698"/>
    <w:rsid w:val="00F24281"/>
    <w:rsid w:val="00F40C8C"/>
    <w:rsid w:val="00F461AB"/>
    <w:rsid w:val="00F921A7"/>
    <w:rsid w:val="00FA230F"/>
    <w:rsid w:val="00FE64FF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ABE2"/>
  <w15:chartTrackingRefBased/>
  <w15:docId w15:val="{0EE90CD4-E71E-429E-8469-57DE440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94E"/>
    <w:pPr>
      <w:spacing w:after="0" w:line="288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C1694E"/>
    <w:pPr>
      <w:numPr>
        <w:numId w:val="1"/>
      </w:numPr>
      <w:ind w:left="567" w:hanging="567"/>
      <w:outlineLvl w:val="0"/>
    </w:pPr>
    <w:rPr>
      <w:kern w:val="28"/>
    </w:rPr>
  </w:style>
  <w:style w:type="paragraph" w:styleId="Cmsor2">
    <w:name w:val="heading 2"/>
    <w:basedOn w:val="Norml"/>
    <w:next w:val="Norml"/>
    <w:link w:val="Cmsor2Char"/>
    <w:qFormat/>
    <w:rsid w:val="00C1694E"/>
    <w:pPr>
      <w:numPr>
        <w:ilvl w:val="1"/>
        <w:numId w:val="1"/>
      </w:numPr>
      <w:ind w:left="567" w:hanging="567"/>
      <w:outlineLvl w:val="1"/>
    </w:pPr>
  </w:style>
  <w:style w:type="paragraph" w:styleId="Cmsor3">
    <w:name w:val="heading 3"/>
    <w:basedOn w:val="Norml"/>
    <w:next w:val="Norml"/>
    <w:link w:val="Cmsor3Char"/>
    <w:qFormat/>
    <w:rsid w:val="00C1694E"/>
    <w:pPr>
      <w:numPr>
        <w:ilvl w:val="2"/>
        <w:numId w:val="1"/>
      </w:numPr>
      <w:ind w:left="567" w:hanging="567"/>
      <w:outlineLvl w:val="2"/>
    </w:pPr>
  </w:style>
  <w:style w:type="paragraph" w:styleId="Cmsor4">
    <w:name w:val="heading 4"/>
    <w:basedOn w:val="Norml"/>
    <w:next w:val="Norml"/>
    <w:link w:val="Cmsor4Char"/>
    <w:qFormat/>
    <w:rsid w:val="00C1694E"/>
    <w:pPr>
      <w:numPr>
        <w:ilvl w:val="3"/>
        <w:numId w:val="1"/>
      </w:numPr>
      <w:ind w:left="567" w:hanging="567"/>
      <w:outlineLvl w:val="3"/>
    </w:pPr>
  </w:style>
  <w:style w:type="paragraph" w:styleId="Cmsor5">
    <w:name w:val="heading 5"/>
    <w:basedOn w:val="Norml"/>
    <w:next w:val="Norml"/>
    <w:link w:val="Cmsor5Char"/>
    <w:qFormat/>
    <w:rsid w:val="00C1694E"/>
    <w:pPr>
      <w:numPr>
        <w:ilvl w:val="4"/>
        <w:numId w:val="1"/>
      </w:numPr>
      <w:ind w:left="567" w:hanging="567"/>
      <w:outlineLvl w:val="4"/>
    </w:pPr>
  </w:style>
  <w:style w:type="paragraph" w:styleId="Cmsor6">
    <w:name w:val="heading 6"/>
    <w:basedOn w:val="Norml"/>
    <w:next w:val="Norml"/>
    <w:link w:val="Cmsor6Char"/>
    <w:qFormat/>
    <w:rsid w:val="00C1694E"/>
    <w:pPr>
      <w:numPr>
        <w:ilvl w:val="5"/>
        <w:numId w:val="1"/>
      </w:numPr>
      <w:ind w:left="567" w:hanging="567"/>
      <w:outlineLvl w:val="5"/>
    </w:pPr>
  </w:style>
  <w:style w:type="paragraph" w:styleId="Cmsor7">
    <w:name w:val="heading 7"/>
    <w:basedOn w:val="Norml"/>
    <w:next w:val="Norml"/>
    <w:link w:val="Cmsor7Char"/>
    <w:qFormat/>
    <w:rsid w:val="00C1694E"/>
    <w:pPr>
      <w:numPr>
        <w:ilvl w:val="6"/>
        <w:numId w:val="1"/>
      </w:numPr>
      <w:ind w:left="567" w:hanging="567"/>
      <w:outlineLvl w:val="6"/>
    </w:pPr>
  </w:style>
  <w:style w:type="paragraph" w:styleId="Cmsor8">
    <w:name w:val="heading 8"/>
    <w:basedOn w:val="Norml"/>
    <w:next w:val="Norml"/>
    <w:link w:val="Cmsor8Char"/>
    <w:qFormat/>
    <w:rsid w:val="00C1694E"/>
    <w:pPr>
      <w:numPr>
        <w:ilvl w:val="7"/>
        <w:numId w:val="1"/>
      </w:numPr>
      <w:ind w:left="567" w:hanging="567"/>
      <w:outlineLvl w:val="7"/>
    </w:pPr>
  </w:style>
  <w:style w:type="paragraph" w:styleId="Cmsor9">
    <w:name w:val="heading 9"/>
    <w:basedOn w:val="Norml"/>
    <w:next w:val="Norml"/>
    <w:link w:val="Cmsor9Char"/>
    <w:qFormat/>
    <w:rsid w:val="00C1694E"/>
    <w:pPr>
      <w:numPr>
        <w:ilvl w:val="8"/>
        <w:numId w:val="1"/>
      </w:numPr>
      <w:ind w:left="567" w:hanging="567"/>
      <w:outlineLvl w:val="8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1694E"/>
    <w:rPr>
      <w:rFonts w:ascii="Times New Roman" w:eastAsia="Times New Roman" w:hAnsi="Times New Roman" w:cs="Times New Roman"/>
      <w:kern w:val="28"/>
      <w:sz w:val="22"/>
      <w:szCs w:val="22"/>
      <w:lang w:val="en-US"/>
      <w14:ligatures w14:val="none"/>
    </w:rPr>
  </w:style>
  <w:style w:type="character" w:customStyle="1" w:styleId="Cmsor2Char">
    <w:name w:val="Címsor 2 Char"/>
    <w:basedOn w:val="Bekezdsalapbettpusa"/>
    <w:link w:val="Cmsor2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3Char">
    <w:name w:val="Címsor 3 Char"/>
    <w:basedOn w:val="Bekezdsalapbettpusa"/>
    <w:link w:val="Cmsor3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4Char">
    <w:name w:val="Címsor 4 Char"/>
    <w:basedOn w:val="Bekezdsalapbettpusa"/>
    <w:link w:val="Cmsor4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5Char">
    <w:name w:val="Címsor 5 Char"/>
    <w:basedOn w:val="Bekezdsalapbettpusa"/>
    <w:link w:val="Cmsor5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6Char">
    <w:name w:val="Címsor 6 Char"/>
    <w:basedOn w:val="Bekezdsalapbettpusa"/>
    <w:link w:val="Cmsor6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7Char">
    <w:name w:val="Címsor 7 Char"/>
    <w:basedOn w:val="Bekezdsalapbettpusa"/>
    <w:link w:val="Cmsor7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8Char">
    <w:name w:val="Címsor 8 Char"/>
    <w:basedOn w:val="Bekezdsalapbettpusa"/>
    <w:link w:val="Cmsor8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Cmsor9Char">
    <w:name w:val="Címsor 9 Char"/>
    <w:basedOn w:val="Bekezdsalapbettpusa"/>
    <w:link w:val="Cmsor9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C1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1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1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169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94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1694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94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94E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qFormat/>
    <w:rsid w:val="00C1694E"/>
  </w:style>
  <w:style w:type="character" w:customStyle="1" w:styleId="llbChar">
    <w:name w:val="Élőláb Char"/>
    <w:basedOn w:val="Bekezdsalapbettpusa"/>
    <w:link w:val="llb"/>
    <w:uiPriority w:val="99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Lbjegyzetszveg">
    <w:name w:val="footnote text"/>
    <w:basedOn w:val="Norml"/>
    <w:link w:val="LbjegyzetszvegChar"/>
    <w:qFormat/>
    <w:rsid w:val="00C1694E"/>
    <w:pPr>
      <w:keepLines/>
      <w:spacing w:after="60" w:line="240" w:lineRule="auto"/>
      <w:ind w:left="567" w:hanging="567"/>
    </w:pPr>
    <w:rPr>
      <w:sz w:val="16"/>
    </w:rPr>
  </w:style>
  <w:style w:type="character" w:customStyle="1" w:styleId="LbjegyzetszvegChar">
    <w:name w:val="Lábjegyzetszöveg Char"/>
    <w:basedOn w:val="Bekezdsalapbettpusa"/>
    <w:link w:val="Lbjegyzetszveg"/>
    <w:rsid w:val="00C1694E"/>
    <w:rPr>
      <w:rFonts w:ascii="Times New Roman" w:eastAsia="Times New Roman" w:hAnsi="Times New Roman" w:cs="Times New Roman"/>
      <w:kern w:val="0"/>
      <w:sz w:val="16"/>
      <w:szCs w:val="22"/>
      <w:lang w:val="en-US"/>
      <w14:ligatures w14:val="none"/>
    </w:rPr>
  </w:style>
  <w:style w:type="paragraph" w:styleId="lfej">
    <w:name w:val="header"/>
    <w:basedOn w:val="Norml"/>
    <w:link w:val="lfejChar"/>
    <w:qFormat/>
    <w:rsid w:val="00C1694E"/>
  </w:style>
  <w:style w:type="character" w:customStyle="1" w:styleId="lfejChar">
    <w:name w:val="Élőfej Char"/>
    <w:basedOn w:val="Bekezdsalapbettpusa"/>
    <w:link w:val="lfej"/>
    <w:rsid w:val="00C1694E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customStyle="1" w:styleId="quotes">
    <w:name w:val="quotes"/>
    <w:basedOn w:val="Norml"/>
    <w:next w:val="Norml"/>
    <w:rsid w:val="00C1694E"/>
    <w:pPr>
      <w:ind w:left="720"/>
    </w:pPr>
    <w:rPr>
      <w:i/>
    </w:rPr>
  </w:style>
  <w:style w:type="character" w:styleId="Lbjegyzet-hivatkozs">
    <w:name w:val="footnote reference"/>
    <w:basedOn w:val="Bekezdsalapbettpusa"/>
    <w:unhideWhenUsed/>
    <w:qFormat/>
    <w:rsid w:val="00C1694E"/>
    <w:rPr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96D5-8F5F-4311-B4F7-7AEDAA741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Bozini Alexandra;Csak</dc:creator>
  <cp:keywords/>
  <dc:description/>
  <cp:lastModifiedBy>Barta Kamilla</cp:lastModifiedBy>
  <cp:revision>3</cp:revision>
  <dcterms:created xsi:type="dcterms:W3CDTF">2025-11-06T09:48:00Z</dcterms:created>
  <dcterms:modified xsi:type="dcterms:W3CDTF">2025-11-06T09:57:00Z</dcterms:modified>
</cp:coreProperties>
</file>